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E5C8B">
      <w:pPr>
        <w:autoSpaceDE w:val="0"/>
        <w:autoSpaceDN w:val="0"/>
        <w:snapToGrid w:val="0"/>
        <w:spacing w:before="582" w:line="650" w:lineRule="exact"/>
        <w:jc w:val="center"/>
        <w:outlineLvl w:val="0"/>
        <w:rPr>
          <w:rFonts w:hint="default" w:ascii="Times New Roman" w:hAnsi="Times New Roman" w:eastAsia="国标宋体" w:cs="Times New Roman"/>
          <w:color w:val="auto"/>
          <w:sz w:val="52"/>
        </w:rPr>
      </w:pPr>
      <w:bookmarkStart w:id="0" w:name="_Toc21683"/>
      <w:bookmarkStart w:id="1" w:name="_Toc19888"/>
      <w:bookmarkStart w:id="2" w:name="_Toc30914"/>
      <w:r>
        <w:rPr>
          <w:rFonts w:hint="default" w:ascii="Times New Roman" w:hAnsi="Times New Roman" w:eastAsia="国标宋体" w:cs="Times New Roman"/>
          <w:color w:val="auto"/>
          <w:spacing w:val="40"/>
          <w:sz w:val="52"/>
        </w:rPr>
        <w:t>四川省特</w:t>
      </w:r>
      <w:r>
        <w:rPr>
          <w:rFonts w:hint="default" w:ascii="Times New Roman" w:hAnsi="Times New Roman" w:eastAsia="国标宋体" w:cs="Times New Roman"/>
          <w:color w:val="auto"/>
          <w:spacing w:val="41"/>
          <w:sz w:val="52"/>
        </w:rPr>
        <w:t>种</w:t>
      </w:r>
      <w:r>
        <w:rPr>
          <w:rFonts w:hint="default" w:ascii="Times New Roman" w:hAnsi="Times New Roman" w:eastAsia="国标宋体" w:cs="Times New Roman"/>
          <w:color w:val="auto"/>
          <w:spacing w:val="40"/>
          <w:sz w:val="52"/>
        </w:rPr>
        <w:t>设备检验机</w:t>
      </w:r>
      <w:r>
        <w:rPr>
          <w:rFonts w:hint="default" w:ascii="Times New Roman" w:hAnsi="Times New Roman" w:eastAsia="国标宋体" w:cs="Times New Roman"/>
          <w:color w:val="auto"/>
          <w:sz w:val="52"/>
        </w:rPr>
        <w:t>构核准</w:t>
      </w:r>
      <w:bookmarkEnd w:id="0"/>
      <w:bookmarkEnd w:id="1"/>
      <w:bookmarkEnd w:id="2"/>
    </w:p>
    <w:p w14:paraId="30FCFC67">
      <w:pPr>
        <w:autoSpaceDE w:val="0"/>
        <w:autoSpaceDN w:val="0"/>
        <w:snapToGrid w:val="0"/>
        <w:spacing w:before="475" w:line="1050" w:lineRule="exact"/>
        <w:ind w:right="-58" w:rightChars="-24"/>
        <w:jc w:val="center"/>
        <w:rPr>
          <w:rFonts w:hint="default" w:ascii="Times New Roman" w:hAnsi="Times New Roman" w:eastAsia="国标宋体" w:cs="Times New Roman"/>
          <w:color w:val="auto"/>
          <w:sz w:val="84"/>
        </w:rPr>
      </w:pPr>
      <w:r>
        <w:rPr>
          <w:rFonts w:hint="default" w:ascii="Times New Roman" w:hAnsi="Times New Roman" w:eastAsia="国标宋体" w:cs="Times New Roman"/>
          <w:color w:val="auto"/>
          <w:spacing w:val="-1"/>
          <w:sz w:val="84"/>
        </w:rPr>
        <w:t>鉴</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定</w:t>
      </w:r>
      <w:r>
        <w:rPr>
          <w:rFonts w:hint="default" w:ascii="Times New Roman" w:hAnsi="Times New Roman" w:eastAsia="国标宋体" w:cs="Times New Roman"/>
          <w:color w:val="auto"/>
          <w:spacing w:val="120"/>
          <w:sz w:val="84"/>
        </w:rPr>
        <w:t xml:space="preserve"> </w:t>
      </w:r>
      <w:r>
        <w:rPr>
          <w:rFonts w:hint="default" w:ascii="Times New Roman" w:hAnsi="Times New Roman" w:eastAsia="国标宋体" w:cs="Times New Roman"/>
          <w:color w:val="auto"/>
          <w:spacing w:val="-1"/>
          <w:sz w:val="84"/>
        </w:rPr>
        <w:t>评</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审</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指</w:t>
      </w:r>
      <w:r>
        <w:rPr>
          <w:rFonts w:hint="default" w:ascii="Times New Roman" w:hAnsi="Times New Roman" w:eastAsia="国标宋体" w:cs="Times New Roman"/>
          <w:color w:val="auto"/>
          <w:spacing w:val="121"/>
          <w:sz w:val="84"/>
        </w:rPr>
        <w:t xml:space="preserve"> </w:t>
      </w:r>
      <w:r>
        <w:rPr>
          <w:rFonts w:hint="default" w:ascii="Times New Roman" w:hAnsi="Times New Roman" w:eastAsia="国标宋体" w:cs="Times New Roman"/>
          <w:color w:val="auto"/>
          <w:sz w:val="84"/>
        </w:rPr>
        <w:t>南</w:t>
      </w:r>
    </w:p>
    <w:p w14:paraId="1F4EAE48">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bookmarkStart w:id="3" w:name="_Toc24677"/>
      <w:bookmarkStart w:id="4" w:name="_Toc17059"/>
      <w:bookmarkStart w:id="5" w:name="_Toc6766"/>
      <w:r>
        <w:rPr>
          <w:rFonts w:hint="default" w:ascii="Times New Roman" w:hAnsi="Times New Roman" w:eastAsia="国标宋体" w:cs="Times New Roman"/>
          <w:color w:val="auto"/>
          <w:sz w:val="44"/>
          <w:lang w:eastAsia="zh-CN"/>
        </w:rPr>
        <w:t>（</w:t>
      </w:r>
      <w:r>
        <w:rPr>
          <w:rFonts w:hint="eastAsia" w:eastAsia="国标宋体" w:cs="Times New Roman"/>
          <w:color w:val="auto"/>
          <w:sz w:val="44"/>
          <w:lang w:eastAsia="zh-CN"/>
        </w:rPr>
        <w:t>征求意见稿</w:t>
      </w:r>
      <w:r>
        <w:rPr>
          <w:rFonts w:hint="default" w:ascii="Times New Roman" w:hAnsi="Times New Roman" w:eastAsia="国标宋体" w:cs="Times New Roman"/>
          <w:color w:val="auto"/>
          <w:sz w:val="44"/>
          <w:lang w:eastAsia="zh-CN"/>
        </w:rPr>
        <w:t>）</w:t>
      </w:r>
    </w:p>
    <w:p w14:paraId="43323F8E">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4"/>
        <w:tblW w:w="9111" w:type="dxa"/>
        <w:tblInd w:w="89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09"/>
        <w:gridCol w:w="313"/>
        <w:gridCol w:w="5989"/>
      </w:tblGrid>
      <w:tr w14:paraId="106AF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809" w:type="dxa"/>
          </w:tcPr>
          <w:p w14:paraId="23436A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评审范围</w:t>
            </w:r>
          </w:p>
        </w:tc>
        <w:tc>
          <w:tcPr>
            <w:tcW w:w="313" w:type="dxa"/>
          </w:tcPr>
          <w:p w14:paraId="49159E79">
            <w:pPr>
              <w:autoSpaceDE w:val="0"/>
              <w:autoSpaceDN w:val="0"/>
              <w:snapToGrid w:val="0"/>
              <w:spacing w:line="550" w:lineRule="exact"/>
              <w:jc w:val="distribute"/>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w:t>
            </w:r>
          </w:p>
        </w:tc>
        <w:tc>
          <w:tcPr>
            <w:tcW w:w="5989" w:type="dxa"/>
          </w:tcPr>
          <w:p w14:paraId="4AC04172">
            <w:pPr>
              <w:autoSpaceDE w:val="0"/>
              <w:autoSpaceDN w:val="0"/>
              <w:snapToGrid w:val="0"/>
              <w:spacing w:line="550" w:lineRule="exact"/>
              <w:outlineLvl w:val="9"/>
              <w:rPr>
                <w:rFonts w:hint="default" w:ascii="Times New Roman" w:hAnsi="Times New Roman" w:eastAsia="国标宋体" w:cs="Times New Roman"/>
                <w:color w:val="auto"/>
                <w:sz w:val="36"/>
                <w:szCs w:val="16"/>
              </w:rPr>
            </w:pPr>
            <w:r>
              <w:rPr>
                <w:rFonts w:hint="default" w:ascii="Times New Roman" w:hAnsi="Times New Roman" w:eastAsia="国标宋体" w:cs="Times New Roman"/>
                <w:color w:val="auto"/>
                <w:sz w:val="36"/>
                <w:szCs w:val="16"/>
              </w:rPr>
              <w:t>甲类B1级（除总局负责核准外）</w:t>
            </w:r>
          </w:p>
        </w:tc>
      </w:tr>
    </w:tbl>
    <w:p w14:paraId="200D6CE3">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0578C642">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13D4A27A">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tbl>
      <w:tblPr>
        <w:tblStyle w:val="13"/>
        <w:tblW w:w="0" w:type="auto"/>
        <w:jc w:val="center"/>
        <w:tblLayout w:type="fixed"/>
        <w:tblCellMar>
          <w:top w:w="0" w:type="dxa"/>
          <w:left w:w="108" w:type="dxa"/>
          <w:bottom w:w="0" w:type="dxa"/>
          <w:right w:w="108" w:type="dxa"/>
        </w:tblCellMar>
      </w:tblPr>
      <w:tblGrid>
        <w:gridCol w:w="2805"/>
        <w:gridCol w:w="310"/>
        <w:gridCol w:w="1355"/>
        <w:gridCol w:w="1207"/>
        <w:gridCol w:w="1159"/>
        <w:gridCol w:w="1351"/>
      </w:tblGrid>
      <w:tr w14:paraId="17D22733">
        <w:tblPrEx>
          <w:tblCellMar>
            <w:top w:w="0" w:type="dxa"/>
            <w:left w:w="108" w:type="dxa"/>
            <w:bottom w:w="0" w:type="dxa"/>
            <w:right w:w="108" w:type="dxa"/>
          </w:tblCellMar>
        </w:tblPrEx>
        <w:trPr>
          <w:trHeight w:val="567" w:hRule="atLeast"/>
          <w:jc w:val="center"/>
        </w:trPr>
        <w:tc>
          <w:tcPr>
            <w:tcW w:w="2805" w:type="dxa"/>
            <w:noWrap w:val="0"/>
            <w:vAlign w:val="top"/>
          </w:tcPr>
          <w:p w14:paraId="190D38B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编 写 人 员</w:t>
            </w:r>
          </w:p>
        </w:tc>
        <w:tc>
          <w:tcPr>
            <w:tcW w:w="310" w:type="dxa"/>
            <w:noWrap w:val="0"/>
            <w:vAlign w:val="top"/>
          </w:tcPr>
          <w:p w14:paraId="1625771D">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7075A3E5">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shd w:val="clear" w:color="auto" w:fill="auto"/>
            <w:noWrap w:val="0"/>
            <w:vAlign w:val="top"/>
          </w:tcPr>
          <w:p w14:paraId="0DE4C232">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00A31073">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8130174">
            <w:pPr>
              <w:snapToGrid w:val="0"/>
              <w:spacing w:line="240" w:lineRule="auto"/>
              <w:jc w:val="center"/>
              <w:rPr>
                <w:rFonts w:hint="default" w:ascii="Times New Roman" w:hAnsi="Times New Roman" w:eastAsia="国标宋体" w:cs="Times New Roman"/>
                <w:b w:val="0"/>
                <w:bCs/>
                <w:color w:val="auto"/>
                <w:sz w:val="32"/>
                <w:szCs w:val="32"/>
              </w:rPr>
            </w:pPr>
          </w:p>
        </w:tc>
      </w:tr>
      <w:tr w14:paraId="78C79A08">
        <w:tblPrEx>
          <w:tblCellMar>
            <w:top w:w="0" w:type="dxa"/>
            <w:left w:w="108" w:type="dxa"/>
            <w:bottom w:w="0" w:type="dxa"/>
            <w:right w:w="108" w:type="dxa"/>
          </w:tblCellMar>
        </w:tblPrEx>
        <w:trPr>
          <w:trHeight w:val="567" w:hRule="atLeast"/>
          <w:jc w:val="center"/>
        </w:trPr>
        <w:tc>
          <w:tcPr>
            <w:tcW w:w="2805" w:type="dxa"/>
            <w:noWrap w:val="0"/>
            <w:vAlign w:val="top"/>
          </w:tcPr>
          <w:p w14:paraId="4DDBDBE8">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5793172F">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07C68DD">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112BCB7B">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609252C">
            <w:pPr>
              <w:adjustRightInd/>
              <w:snapToGrid w:val="0"/>
              <w:spacing w:line="240" w:lineRule="auto"/>
              <w:ind w:left="0" w:leftChars="0" w:right="0" w:rightChars="0"/>
              <w:jc w:val="distribute"/>
              <w:rPr>
                <w:rFonts w:hint="default" w:ascii="Times New Roman" w:hAnsi="Times New Roman" w:eastAsia="国标宋体" w:cs="Times New Roman"/>
                <w:b w:val="0"/>
                <w:bCs/>
                <w:color w:val="auto"/>
                <w:sz w:val="32"/>
                <w:szCs w:val="32"/>
              </w:rPr>
            </w:pPr>
          </w:p>
        </w:tc>
        <w:tc>
          <w:tcPr>
            <w:tcW w:w="1351" w:type="dxa"/>
            <w:noWrap w:val="0"/>
            <w:vAlign w:val="top"/>
          </w:tcPr>
          <w:p w14:paraId="6314FFC4">
            <w:pPr>
              <w:snapToGrid w:val="0"/>
              <w:spacing w:line="240" w:lineRule="auto"/>
              <w:jc w:val="distribute"/>
              <w:rPr>
                <w:rFonts w:hint="default" w:ascii="Times New Roman" w:hAnsi="Times New Roman" w:eastAsia="国标宋体" w:cs="Times New Roman"/>
                <w:b w:val="0"/>
                <w:bCs/>
                <w:color w:val="auto"/>
                <w:sz w:val="32"/>
                <w:szCs w:val="32"/>
              </w:rPr>
            </w:pPr>
          </w:p>
        </w:tc>
      </w:tr>
      <w:tr w14:paraId="182BAFA1">
        <w:tblPrEx>
          <w:tblCellMar>
            <w:top w:w="0" w:type="dxa"/>
            <w:left w:w="108" w:type="dxa"/>
            <w:bottom w:w="0" w:type="dxa"/>
            <w:right w:w="108" w:type="dxa"/>
          </w:tblCellMar>
        </w:tblPrEx>
        <w:trPr>
          <w:trHeight w:val="567" w:hRule="atLeast"/>
          <w:jc w:val="center"/>
        </w:trPr>
        <w:tc>
          <w:tcPr>
            <w:tcW w:w="2805" w:type="dxa"/>
            <w:noWrap w:val="0"/>
            <w:vAlign w:val="top"/>
          </w:tcPr>
          <w:p w14:paraId="1BBF13EA">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24F8FF2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A1B20F8">
            <w:pPr>
              <w:adjustRightInd/>
              <w:snapToGrid w:val="0"/>
              <w:spacing w:line="240" w:lineRule="auto"/>
              <w:ind w:left="0" w:leftChars="0" w:right="0" w:rightChars="0"/>
              <w:jc w:val="distribute"/>
              <w:rPr>
                <w:rFonts w:hint="default" w:ascii="Times New Roman" w:hAnsi="Times New Roman" w:eastAsia="国标宋体" w:cs="Times New Roman"/>
                <w:b w:val="0"/>
                <w:bCs/>
                <w:color w:val="auto"/>
                <w:kern w:val="0"/>
                <w:sz w:val="32"/>
                <w:szCs w:val="32"/>
                <w:lang w:val="en-US" w:eastAsia="zh-CN" w:bidi="ar-SA"/>
              </w:rPr>
            </w:pPr>
          </w:p>
        </w:tc>
        <w:tc>
          <w:tcPr>
            <w:tcW w:w="1207" w:type="dxa"/>
            <w:shd w:val="clear" w:color="auto" w:fill="auto"/>
            <w:noWrap w:val="0"/>
            <w:vAlign w:val="top"/>
          </w:tcPr>
          <w:p w14:paraId="486DED84">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kern w:val="0"/>
                <w:sz w:val="32"/>
                <w:szCs w:val="32"/>
                <w:lang w:val="en-US" w:eastAsia="zh-CN" w:bidi="ar-SA"/>
              </w:rPr>
            </w:pPr>
          </w:p>
        </w:tc>
        <w:tc>
          <w:tcPr>
            <w:tcW w:w="1159" w:type="dxa"/>
            <w:noWrap w:val="0"/>
            <w:vAlign w:val="top"/>
          </w:tcPr>
          <w:p w14:paraId="5A51EEB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F5BE895">
            <w:pPr>
              <w:snapToGrid w:val="0"/>
              <w:spacing w:line="240" w:lineRule="auto"/>
              <w:jc w:val="center"/>
              <w:rPr>
                <w:rFonts w:hint="default" w:ascii="Times New Roman" w:hAnsi="Times New Roman" w:eastAsia="国标宋体" w:cs="Times New Roman"/>
                <w:b w:val="0"/>
                <w:bCs/>
                <w:color w:val="auto"/>
                <w:sz w:val="32"/>
                <w:szCs w:val="32"/>
              </w:rPr>
            </w:pPr>
          </w:p>
        </w:tc>
      </w:tr>
      <w:tr w14:paraId="5120F0CA">
        <w:tblPrEx>
          <w:tblCellMar>
            <w:top w:w="0" w:type="dxa"/>
            <w:left w:w="108" w:type="dxa"/>
            <w:bottom w:w="0" w:type="dxa"/>
            <w:right w:w="108" w:type="dxa"/>
          </w:tblCellMar>
        </w:tblPrEx>
        <w:trPr>
          <w:trHeight w:val="567" w:hRule="atLeast"/>
          <w:jc w:val="center"/>
        </w:trPr>
        <w:tc>
          <w:tcPr>
            <w:tcW w:w="2805" w:type="dxa"/>
            <w:noWrap w:val="0"/>
            <w:vAlign w:val="top"/>
          </w:tcPr>
          <w:p w14:paraId="20AEB680">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69B5662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shd w:val="clear" w:color="auto" w:fill="auto"/>
            <w:noWrap w:val="0"/>
            <w:vAlign w:val="top"/>
          </w:tcPr>
          <w:p w14:paraId="0341E49F">
            <w:pPr>
              <w:adjustRightInd w:val="0"/>
              <w:snapToGrid w:val="0"/>
              <w:spacing w:line="240" w:lineRule="auto"/>
              <w:ind w:left="-120" w:leftChars="-50" w:right="-120" w:rightChars="-50"/>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13EC690C">
            <w:pPr>
              <w:adjustRightInd w:val="0"/>
              <w:snapToGrid w:val="0"/>
              <w:spacing w:line="240" w:lineRule="auto"/>
              <w:ind w:left="-120" w:leftChars="-50" w:right="-120" w:rightChars="-50"/>
              <w:jc w:val="left"/>
              <w:rPr>
                <w:rFonts w:hint="default" w:ascii="Times New Roman" w:hAnsi="Times New Roman" w:eastAsia="国标宋体" w:cs="Times New Roman"/>
                <w:b w:val="0"/>
                <w:bCs/>
                <w:color w:val="auto"/>
                <w:sz w:val="32"/>
                <w:szCs w:val="32"/>
              </w:rPr>
            </w:pPr>
          </w:p>
        </w:tc>
        <w:tc>
          <w:tcPr>
            <w:tcW w:w="1159" w:type="dxa"/>
            <w:noWrap w:val="0"/>
            <w:vAlign w:val="top"/>
          </w:tcPr>
          <w:p w14:paraId="20CF5AB7">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E6FE26A">
            <w:pPr>
              <w:snapToGrid w:val="0"/>
              <w:spacing w:line="240" w:lineRule="auto"/>
              <w:jc w:val="center"/>
              <w:rPr>
                <w:rFonts w:hint="default" w:ascii="Times New Roman" w:hAnsi="Times New Roman" w:eastAsia="国标宋体" w:cs="Times New Roman"/>
                <w:b w:val="0"/>
                <w:bCs/>
                <w:color w:val="auto"/>
                <w:sz w:val="32"/>
                <w:szCs w:val="32"/>
              </w:rPr>
            </w:pPr>
          </w:p>
        </w:tc>
      </w:tr>
      <w:tr w14:paraId="4FA70810">
        <w:tblPrEx>
          <w:tblCellMar>
            <w:top w:w="0" w:type="dxa"/>
            <w:left w:w="108" w:type="dxa"/>
            <w:bottom w:w="0" w:type="dxa"/>
            <w:right w:w="108" w:type="dxa"/>
          </w:tblCellMar>
        </w:tblPrEx>
        <w:trPr>
          <w:trHeight w:val="567" w:hRule="atLeast"/>
          <w:jc w:val="center"/>
        </w:trPr>
        <w:tc>
          <w:tcPr>
            <w:tcW w:w="2805" w:type="dxa"/>
            <w:noWrap w:val="0"/>
            <w:vAlign w:val="top"/>
          </w:tcPr>
          <w:p w14:paraId="1DA27C61">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审核</w:t>
            </w:r>
          </w:p>
        </w:tc>
        <w:tc>
          <w:tcPr>
            <w:tcW w:w="310" w:type="dxa"/>
            <w:noWrap w:val="0"/>
            <w:vAlign w:val="top"/>
          </w:tcPr>
          <w:p w14:paraId="3734A9E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shd w:val="clear" w:color="auto" w:fill="auto"/>
            <w:noWrap w:val="0"/>
            <w:vAlign w:val="top"/>
          </w:tcPr>
          <w:p w14:paraId="186D6E44">
            <w:pPr>
              <w:snapToGrid w:val="0"/>
              <w:spacing w:line="240" w:lineRule="auto"/>
              <w:jc w:val="distribute"/>
              <w:rPr>
                <w:rFonts w:hint="default" w:ascii="Times New Roman" w:hAnsi="Times New Roman" w:eastAsia="国标宋体" w:cs="Times New Roman"/>
                <w:b w:val="0"/>
                <w:bCs/>
                <w:color w:val="auto"/>
                <w:sz w:val="32"/>
                <w:szCs w:val="32"/>
                <w:lang w:val="en-US" w:eastAsia="zh-CN"/>
              </w:rPr>
            </w:pPr>
          </w:p>
        </w:tc>
        <w:tc>
          <w:tcPr>
            <w:tcW w:w="1207" w:type="dxa"/>
            <w:shd w:val="clear" w:color="auto" w:fill="auto"/>
            <w:noWrap w:val="0"/>
            <w:vAlign w:val="top"/>
          </w:tcPr>
          <w:p w14:paraId="784DCC6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0B369ECF">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2BBB4C4B">
            <w:pPr>
              <w:snapToGrid w:val="0"/>
              <w:spacing w:line="240" w:lineRule="auto"/>
              <w:jc w:val="center"/>
              <w:rPr>
                <w:rFonts w:hint="default" w:ascii="Times New Roman" w:hAnsi="Times New Roman" w:eastAsia="国标宋体" w:cs="Times New Roman"/>
                <w:b w:val="0"/>
                <w:bCs/>
                <w:color w:val="auto"/>
                <w:sz w:val="32"/>
                <w:szCs w:val="32"/>
              </w:rPr>
            </w:pPr>
          </w:p>
        </w:tc>
      </w:tr>
      <w:tr w14:paraId="3AE74E19">
        <w:tblPrEx>
          <w:tblCellMar>
            <w:top w:w="0" w:type="dxa"/>
            <w:left w:w="108" w:type="dxa"/>
            <w:bottom w:w="0" w:type="dxa"/>
            <w:right w:w="108" w:type="dxa"/>
          </w:tblCellMar>
        </w:tblPrEx>
        <w:trPr>
          <w:trHeight w:val="567" w:hRule="atLeast"/>
          <w:jc w:val="center"/>
        </w:trPr>
        <w:tc>
          <w:tcPr>
            <w:tcW w:w="2805" w:type="dxa"/>
            <w:noWrap w:val="0"/>
            <w:vAlign w:val="top"/>
          </w:tcPr>
          <w:p w14:paraId="4479F8FB">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F90E546">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707036B">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52B85F0">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159" w:type="dxa"/>
            <w:noWrap w:val="0"/>
            <w:vAlign w:val="top"/>
          </w:tcPr>
          <w:p w14:paraId="38A52A88">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06ECEEE3">
            <w:pPr>
              <w:snapToGrid w:val="0"/>
              <w:spacing w:line="240" w:lineRule="auto"/>
              <w:jc w:val="center"/>
              <w:rPr>
                <w:rFonts w:hint="default" w:ascii="Times New Roman" w:hAnsi="Times New Roman" w:eastAsia="国标宋体" w:cs="Times New Roman"/>
                <w:b w:val="0"/>
                <w:bCs/>
                <w:color w:val="auto"/>
                <w:sz w:val="32"/>
                <w:szCs w:val="32"/>
              </w:rPr>
            </w:pPr>
          </w:p>
        </w:tc>
      </w:tr>
      <w:tr w14:paraId="7541E4F3">
        <w:tblPrEx>
          <w:tblCellMar>
            <w:top w:w="0" w:type="dxa"/>
            <w:left w:w="108" w:type="dxa"/>
            <w:bottom w:w="0" w:type="dxa"/>
            <w:right w:w="108" w:type="dxa"/>
          </w:tblCellMar>
        </w:tblPrEx>
        <w:trPr>
          <w:trHeight w:val="567" w:hRule="atLeast"/>
          <w:jc w:val="center"/>
        </w:trPr>
        <w:tc>
          <w:tcPr>
            <w:tcW w:w="2805" w:type="dxa"/>
            <w:noWrap w:val="0"/>
            <w:vAlign w:val="top"/>
          </w:tcPr>
          <w:p w14:paraId="1FC9D6F7">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rPr>
              <w:t>批准</w:t>
            </w:r>
          </w:p>
        </w:tc>
        <w:tc>
          <w:tcPr>
            <w:tcW w:w="310" w:type="dxa"/>
            <w:noWrap w:val="0"/>
            <w:vAlign w:val="top"/>
          </w:tcPr>
          <w:p w14:paraId="78468A42">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r>
              <w:rPr>
                <w:rFonts w:hint="default" w:ascii="Times New Roman" w:hAnsi="Times New Roman" w:eastAsia="国标宋体" w:cs="Times New Roman"/>
                <w:b w:val="0"/>
                <w:bCs/>
                <w:color w:val="auto"/>
                <w:sz w:val="32"/>
                <w:szCs w:val="32"/>
                <w:lang w:eastAsia="zh-CN"/>
              </w:rPr>
              <w:t>：</w:t>
            </w:r>
          </w:p>
        </w:tc>
        <w:tc>
          <w:tcPr>
            <w:tcW w:w="1355" w:type="dxa"/>
            <w:noWrap w:val="0"/>
            <w:vAlign w:val="top"/>
          </w:tcPr>
          <w:p w14:paraId="21B9ED16">
            <w:pPr>
              <w:snapToGrid w:val="0"/>
              <w:spacing w:line="240" w:lineRule="auto"/>
              <w:jc w:val="distribute"/>
              <w:rPr>
                <w:rFonts w:hint="default" w:ascii="Times New Roman" w:hAnsi="Times New Roman" w:eastAsia="国标宋体" w:cs="Times New Roman"/>
                <w:b w:val="0"/>
                <w:bCs/>
                <w:color w:val="auto"/>
                <w:sz w:val="32"/>
                <w:szCs w:val="32"/>
                <w:lang w:eastAsia="zh-CN"/>
              </w:rPr>
            </w:pPr>
          </w:p>
        </w:tc>
        <w:tc>
          <w:tcPr>
            <w:tcW w:w="1207" w:type="dxa"/>
            <w:noWrap w:val="0"/>
            <w:vAlign w:val="top"/>
          </w:tcPr>
          <w:p w14:paraId="1F904359">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rPr>
            </w:pPr>
          </w:p>
        </w:tc>
        <w:tc>
          <w:tcPr>
            <w:tcW w:w="1159" w:type="dxa"/>
            <w:shd w:val="clear" w:color="auto" w:fill="auto"/>
            <w:noWrap w:val="0"/>
            <w:vAlign w:val="top"/>
          </w:tcPr>
          <w:p w14:paraId="4A5E3ED5">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lang w:val="en-US" w:eastAsia="zh-CN" w:bidi="ar-SA"/>
              </w:rPr>
            </w:pPr>
          </w:p>
        </w:tc>
        <w:tc>
          <w:tcPr>
            <w:tcW w:w="1351" w:type="dxa"/>
            <w:noWrap w:val="0"/>
            <w:vAlign w:val="top"/>
          </w:tcPr>
          <w:p w14:paraId="6529AFAD">
            <w:pPr>
              <w:snapToGrid w:val="0"/>
              <w:spacing w:line="240" w:lineRule="auto"/>
              <w:jc w:val="center"/>
              <w:rPr>
                <w:rFonts w:hint="default" w:ascii="Times New Roman" w:hAnsi="Times New Roman" w:eastAsia="国标宋体" w:cs="Times New Roman"/>
                <w:b w:val="0"/>
                <w:bCs/>
                <w:color w:val="auto"/>
                <w:sz w:val="32"/>
                <w:szCs w:val="32"/>
              </w:rPr>
            </w:pPr>
          </w:p>
        </w:tc>
      </w:tr>
      <w:tr w14:paraId="69CF202C">
        <w:tblPrEx>
          <w:tblCellMar>
            <w:top w:w="0" w:type="dxa"/>
            <w:left w:w="108" w:type="dxa"/>
            <w:bottom w:w="0" w:type="dxa"/>
            <w:right w:w="108" w:type="dxa"/>
          </w:tblCellMar>
        </w:tblPrEx>
        <w:trPr>
          <w:trHeight w:val="567" w:hRule="atLeast"/>
          <w:jc w:val="center"/>
        </w:trPr>
        <w:tc>
          <w:tcPr>
            <w:tcW w:w="2805" w:type="dxa"/>
            <w:noWrap w:val="0"/>
            <w:vAlign w:val="top"/>
          </w:tcPr>
          <w:p w14:paraId="6ED4F4EC">
            <w:pPr>
              <w:snapToGrid w:val="0"/>
              <w:spacing w:line="240" w:lineRule="auto"/>
              <w:ind w:firstLine="0" w:firstLineChars="0"/>
              <w:jc w:val="distribute"/>
              <w:rPr>
                <w:rFonts w:hint="default" w:ascii="Times New Roman" w:hAnsi="Times New Roman" w:eastAsia="国标宋体" w:cs="Times New Roman"/>
                <w:b w:val="0"/>
                <w:bCs/>
                <w:color w:val="auto"/>
                <w:sz w:val="32"/>
                <w:szCs w:val="32"/>
              </w:rPr>
            </w:pPr>
          </w:p>
        </w:tc>
        <w:tc>
          <w:tcPr>
            <w:tcW w:w="310" w:type="dxa"/>
            <w:noWrap w:val="0"/>
            <w:vAlign w:val="top"/>
          </w:tcPr>
          <w:p w14:paraId="4C2FF99B">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5" w:type="dxa"/>
            <w:noWrap w:val="0"/>
            <w:vAlign w:val="top"/>
          </w:tcPr>
          <w:p w14:paraId="051454E9">
            <w:pPr>
              <w:snapToGrid w:val="0"/>
              <w:spacing w:line="240" w:lineRule="auto"/>
              <w:jc w:val="distribute"/>
              <w:rPr>
                <w:rFonts w:hint="default" w:ascii="Times New Roman" w:hAnsi="Times New Roman" w:eastAsia="国标宋体" w:cs="Times New Roman"/>
                <w:b w:val="0"/>
                <w:bCs/>
                <w:color w:val="auto"/>
                <w:sz w:val="32"/>
                <w:szCs w:val="32"/>
              </w:rPr>
            </w:pPr>
          </w:p>
        </w:tc>
        <w:tc>
          <w:tcPr>
            <w:tcW w:w="1207" w:type="dxa"/>
            <w:noWrap w:val="0"/>
            <w:vAlign w:val="top"/>
          </w:tcPr>
          <w:p w14:paraId="6E63EDFC">
            <w:pPr>
              <w:snapToGrid w:val="0"/>
              <w:spacing w:line="240" w:lineRule="auto"/>
              <w:jc w:val="both"/>
              <w:rPr>
                <w:rFonts w:hint="default" w:ascii="Times New Roman" w:hAnsi="Times New Roman" w:eastAsia="国标宋体" w:cs="Times New Roman"/>
                <w:b w:val="0"/>
                <w:bCs/>
                <w:color w:val="auto"/>
                <w:sz w:val="32"/>
                <w:szCs w:val="32"/>
              </w:rPr>
            </w:pPr>
          </w:p>
        </w:tc>
        <w:tc>
          <w:tcPr>
            <w:tcW w:w="1159" w:type="dxa"/>
            <w:noWrap w:val="0"/>
            <w:vAlign w:val="top"/>
          </w:tcPr>
          <w:p w14:paraId="7F64E84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rPr>
            </w:pPr>
          </w:p>
        </w:tc>
        <w:tc>
          <w:tcPr>
            <w:tcW w:w="1351" w:type="dxa"/>
            <w:noWrap w:val="0"/>
            <w:vAlign w:val="top"/>
          </w:tcPr>
          <w:p w14:paraId="4B76510F">
            <w:pPr>
              <w:snapToGrid w:val="0"/>
              <w:spacing w:line="240" w:lineRule="auto"/>
              <w:jc w:val="center"/>
              <w:rPr>
                <w:rFonts w:hint="default" w:ascii="Times New Roman" w:hAnsi="Times New Roman" w:eastAsia="国标宋体" w:cs="Times New Roman"/>
                <w:b w:val="0"/>
                <w:bCs/>
                <w:color w:val="auto"/>
                <w:sz w:val="32"/>
                <w:szCs w:val="32"/>
              </w:rPr>
            </w:pPr>
          </w:p>
        </w:tc>
      </w:tr>
      <w:tr w14:paraId="5AD622BF">
        <w:tblPrEx>
          <w:tblCellMar>
            <w:top w:w="0" w:type="dxa"/>
            <w:left w:w="108" w:type="dxa"/>
            <w:bottom w:w="0" w:type="dxa"/>
            <w:right w:w="108" w:type="dxa"/>
          </w:tblCellMar>
        </w:tblPrEx>
        <w:trPr>
          <w:jc w:val="center"/>
        </w:trPr>
        <w:tc>
          <w:tcPr>
            <w:tcW w:w="2805" w:type="dxa"/>
            <w:noWrap w:val="0"/>
            <w:vAlign w:val="top"/>
          </w:tcPr>
          <w:p w14:paraId="194EEBC8">
            <w:pPr>
              <w:snapToGrid w:val="0"/>
              <w:spacing w:line="240" w:lineRule="auto"/>
              <w:ind w:firstLine="0" w:firstLineChars="0"/>
              <w:jc w:val="distribute"/>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rPr>
              <w:t>批</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准</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日</w:t>
            </w:r>
            <w:r>
              <w:rPr>
                <w:rFonts w:hint="default" w:ascii="Times New Roman" w:hAnsi="Times New Roman" w:eastAsia="国标宋体" w:cs="Times New Roman"/>
                <w:b w:val="0"/>
                <w:bCs/>
                <w:color w:val="auto"/>
                <w:sz w:val="32"/>
                <w:szCs w:val="32"/>
                <w:highlight w:val="none"/>
                <w:lang w:val="en-US" w:eastAsia="zh-CN"/>
              </w:rPr>
              <w:t xml:space="preserve"> </w:t>
            </w:r>
            <w:r>
              <w:rPr>
                <w:rFonts w:hint="default" w:ascii="Times New Roman" w:hAnsi="Times New Roman" w:eastAsia="国标宋体" w:cs="Times New Roman"/>
                <w:b w:val="0"/>
                <w:bCs/>
                <w:color w:val="auto"/>
                <w:sz w:val="32"/>
                <w:szCs w:val="32"/>
                <w:highlight w:val="none"/>
              </w:rPr>
              <w:t>期</w:t>
            </w:r>
          </w:p>
        </w:tc>
        <w:tc>
          <w:tcPr>
            <w:tcW w:w="310" w:type="dxa"/>
            <w:noWrap w:val="0"/>
            <w:vAlign w:val="top"/>
          </w:tcPr>
          <w:p w14:paraId="228409B4">
            <w:pPr>
              <w:adjustRightInd w:val="0"/>
              <w:snapToGrid w:val="0"/>
              <w:spacing w:line="240" w:lineRule="auto"/>
              <w:ind w:left="-120" w:leftChars="-50" w:right="-120" w:rightChars="-50"/>
              <w:rPr>
                <w:rFonts w:hint="default" w:ascii="Times New Roman" w:hAnsi="Times New Roman" w:eastAsia="国标宋体" w:cs="Times New Roman"/>
                <w:b w:val="0"/>
                <w:bCs/>
                <w:color w:val="auto"/>
                <w:sz w:val="32"/>
                <w:szCs w:val="32"/>
                <w:highlight w:val="none"/>
              </w:rPr>
            </w:pPr>
            <w:r>
              <w:rPr>
                <w:rFonts w:hint="default" w:ascii="Times New Roman" w:hAnsi="Times New Roman" w:eastAsia="国标宋体" w:cs="Times New Roman"/>
                <w:b w:val="0"/>
                <w:bCs/>
                <w:color w:val="auto"/>
                <w:sz w:val="32"/>
                <w:szCs w:val="32"/>
                <w:highlight w:val="none"/>
                <w:lang w:eastAsia="zh-CN"/>
              </w:rPr>
              <w:t>：</w:t>
            </w:r>
          </w:p>
        </w:tc>
        <w:tc>
          <w:tcPr>
            <w:tcW w:w="5072" w:type="dxa"/>
            <w:gridSpan w:val="4"/>
            <w:noWrap w:val="0"/>
            <w:vAlign w:val="top"/>
          </w:tcPr>
          <w:p w14:paraId="73B4167D">
            <w:pPr>
              <w:snapToGrid w:val="0"/>
              <w:spacing w:line="240" w:lineRule="auto"/>
              <w:rPr>
                <w:rFonts w:hint="default" w:ascii="Times New Roman" w:hAnsi="Times New Roman" w:eastAsia="国标宋体" w:cs="Times New Roman"/>
                <w:b w:val="0"/>
                <w:bCs/>
                <w:color w:val="auto"/>
                <w:sz w:val="32"/>
                <w:szCs w:val="32"/>
                <w:highlight w:val="none"/>
              </w:rPr>
            </w:pPr>
          </w:p>
        </w:tc>
      </w:tr>
    </w:tbl>
    <w:p w14:paraId="5D1C24C2">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p w14:paraId="09835C04">
      <w:pPr>
        <w:autoSpaceDE w:val="0"/>
        <w:autoSpaceDN w:val="0"/>
        <w:snapToGrid w:val="0"/>
        <w:spacing w:line="550" w:lineRule="exact"/>
        <w:jc w:val="center"/>
        <w:outlineLvl w:val="9"/>
        <w:rPr>
          <w:rFonts w:hint="default" w:ascii="Times New Roman" w:hAnsi="Times New Roman" w:eastAsia="国标宋体" w:cs="Times New Roman"/>
          <w:color w:val="auto"/>
          <w:sz w:val="44"/>
        </w:rPr>
      </w:pPr>
    </w:p>
    <w:bookmarkEnd w:id="3"/>
    <w:bookmarkEnd w:id="4"/>
    <w:bookmarkEnd w:id="5"/>
    <w:p w14:paraId="74D79BD3">
      <w:pPr>
        <w:autoSpaceDE w:val="0"/>
        <w:autoSpaceDN w:val="0"/>
        <w:snapToGrid w:val="0"/>
        <w:spacing w:line="550" w:lineRule="exact"/>
        <w:jc w:val="center"/>
        <w:outlineLvl w:val="9"/>
        <w:rPr>
          <w:rFonts w:hint="default" w:ascii="Times New Roman" w:hAnsi="Times New Roman" w:eastAsia="国标宋体" w:cs="Times New Roman"/>
          <w:color w:val="auto"/>
          <w:sz w:val="44"/>
          <w:lang w:eastAsia="zh-CN"/>
        </w:rPr>
      </w:pPr>
      <w:r>
        <w:rPr>
          <w:rFonts w:hint="default" w:ascii="Times New Roman" w:hAnsi="Times New Roman" w:eastAsia="国标宋体" w:cs="Times New Roman"/>
          <w:color w:val="auto"/>
          <w:sz w:val="44"/>
          <w:lang w:eastAsia="zh-CN"/>
        </w:rPr>
        <w:t>四川省质量技术审评中心</w:t>
      </w:r>
    </w:p>
    <w:p w14:paraId="59ED40F1">
      <w:pPr>
        <w:ind w:firstLine="2340" w:firstLineChars="650"/>
        <w:jc w:val="center"/>
        <w:rPr>
          <w:rFonts w:hint="default" w:ascii="Times New Roman" w:hAnsi="Times New Roman" w:eastAsia="国标宋体" w:cs="Times New Roman"/>
          <w:color w:val="auto"/>
          <w:sz w:val="36"/>
        </w:rPr>
      </w:pPr>
    </w:p>
    <w:p w14:paraId="252D7888">
      <w:pPr>
        <w:ind w:firstLine="2340" w:firstLineChars="650"/>
        <w:jc w:val="center"/>
        <w:rPr>
          <w:rFonts w:hint="default" w:ascii="Times New Roman" w:hAnsi="Times New Roman" w:eastAsia="国标宋体" w:cs="Times New Roman"/>
          <w:color w:val="auto"/>
          <w:sz w:val="36"/>
        </w:rPr>
      </w:pPr>
    </w:p>
    <w:p w14:paraId="3F274B23">
      <w:pPr>
        <w:ind w:firstLine="2340" w:firstLineChars="650"/>
        <w:jc w:val="center"/>
        <w:rPr>
          <w:rFonts w:hint="default" w:ascii="Times New Roman" w:hAnsi="Times New Roman" w:eastAsia="国标宋体" w:cs="Times New Roman"/>
          <w:color w:val="auto"/>
          <w:sz w:val="36"/>
        </w:rPr>
        <w:sectPr>
          <w:headerReference r:id="rId4" w:type="default"/>
          <w:footerReference r:id="rId5" w:type="default"/>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p>
    <w:p w14:paraId="5F0E0C27">
      <w:pPr>
        <w:autoSpaceDE w:val="0"/>
        <w:autoSpaceDN w:val="0"/>
        <w:snapToGrid w:val="0"/>
        <w:spacing w:before="494" w:line="400" w:lineRule="exact"/>
        <w:ind w:left="4244"/>
        <w:jc w:val="left"/>
        <w:rPr>
          <w:rFonts w:hint="default" w:ascii="Times New Roman" w:hAnsi="Times New Roman" w:eastAsia="国标宋体" w:cs="Times New Roman"/>
          <w:color w:val="auto"/>
          <w:sz w:val="32"/>
        </w:rPr>
      </w:pPr>
      <w:r>
        <w:rPr>
          <w:rFonts w:hint="default" w:ascii="Times New Roman" w:hAnsi="Times New Roman" w:eastAsia="国标宋体" w:cs="Times New Roman"/>
          <w:color w:val="auto"/>
          <w:sz w:val="32"/>
        </w:rPr>
        <w:t>目 录</w:t>
      </w:r>
      <w:r>
        <w:rPr>
          <w:rFonts w:hint="default" w:ascii="Times New Roman" w:hAnsi="Times New Roman" w:eastAsia="国标宋体" w:cs="Times New Roman"/>
          <w:color w:val="auto"/>
          <w:sz w:val="32"/>
        </w:rPr>
        <mc:AlternateContent>
          <mc:Choice Requires="wps">
            <w:drawing>
              <wp:anchor distT="0" distB="0" distL="114300" distR="114300" simplePos="0" relativeHeight="251683840"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52" name="105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1" o:spid="_x0000_s1026" o:spt="20" style="position:absolute;left:0pt;margin-left:75.35pt;margin-top:53.5pt;height:0pt;width:0.25pt;mso-position-horizontal-relative:page;mso-position-vertical-relative:page;z-index:-251632640;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TxnD7ZAQAA4gMAAA4AAABkcnMvZTJvRG9jLnhtbK1TTW/b&#10;MAy9D9h/EHRfbKfINhhxiqJZdxm2AOt+ACPJtgB9QVTi5N+PktOs6y45DAZkSqQe+R6p9f3JGnZU&#10;EbV3HW8WNWfKCS+1Gzr+6/npw2fOMIGTYLxTHT8r5Peb9+/WU2jV0o/eSBUZgThsp9DxMaXQVhWK&#10;UVnAhQ/KkbP30UKibRwqGWEidGuqZV1/rCYfZYheKEQ63c5OfkGMtwD6vtdCbb04WOXSjBqVgUSU&#10;cNQB+aZU2/dKpB99jyox03FimspKScje57XarKEdIoRRi0sJcEsJbzhZ0I6SXqG2kIAdov4HymoR&#10;Pfo+LYS31UykKEIsmvqNNj9HCKpwIakxXEXH/wcrvh93kWnZ8dWSMweWOt7UqyYLMwVsyf/odvGy&#10;w7CLmeWpjzb/qX52KmKer2KqU2KCDu+aTyvOxIuj+nMrRExflbcsGx032mWS0MLxGybKRKEvIfnY&#10;ODZd4YAmLjpJwDZQ0eiGchW90fJJG5MvYBz2jyayI1DTH5b0FToE+1dYzrEFHOe44prHYVQgvzjJ&#10;0jmQGo5eAc8VWEVpjaJHk60yOAm0uSWSUhuXS1NlJC80s76zotnae3mmVhxC1MNIssw1Zw+1vohy&#10;GdM8W6/3ZL9+mp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JTxnD7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4864" behindDoc="1" locked="0" layoutInCell="1" allowOverlap="1">
                <wp:simplePos x="0" y="0"/>
                <wp:positionH relativeFrom="page">
                  <wp:posOffset>6853555</wp:posOffset>
                </wp:positionH>
                <wp:positionV relativeFrom="page">
                  <wp:posOffset>678180</wp:posOffset>
                </wp:positionV>
                <wp:extent cx="0" cy="3175"/>
                <wp:effectExtent l="0" t="0" r="0" b="0"/>
                <wp:wrapNone/>
                <wp:docPr id="53" name="1053"/>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3" o:spid="_x0000_s1026" o:spt="20" style="position:absolute;left:0pt;margin-left:539.65pt;margin-top:53.4pt;height:0.25pt;width:0pt;mso-position-horizontal-relative:page;mso-position-vertical-relative:page;z-index:-251631616;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daXYotkBAADiAwAADgAAAGRycy9lMm9Eb2MueG1srVNN&#10;b9swDL0P6H8QdF9st+s2GHF6aNpdhi3Ath/ASLItQF8QlTj596NkL+26Sw6DAZkiqUe+J2r9cLKG&#10;HVVE7V3Hm1XNmXLCS+2Gjv/6+fz+M2eYwEkw3qmOnxXyh83Nu/UUWnXrR2+kioxAHLZT6PiYUmir&#10;CsWoLODKB+Uo2PtoIdE2DpWMMBG6NdVtXX+sJh9liF4oRPJu5yBfEOM1gL7vtVBbLw5WuTSjRmUg&#10;ESUcdUC+Kd32vRLpe9+jSsx0nJimslIRsvd5rTZraIcIYdRiaQGuaeENJwvaUdEL1BYSsEPU/0BZ&#10;LaJH36eV8LaaiRRFiEVTv9HmxwhBFS4kNYaL6Pj/YMW34y4yLTt+f8eZA0s33tRkkzBTwJbij24X&#10;lx2GXcwsT320+U/9s1MR83wRU50SE7NTkPeu+XSfwaqXUyFi+qK8ZdnouNEuk4QWjl8xzal/UrLb&#10;ODYtOEwATVx0kjNhAzWNbihH0Rstn7Ux+QDGYf9oIjsCXfrTh/wtHfyVlmtsAcc5r4RyGrSjAvnk&#10;JEvnQGo4egU8d2AVlTWKHk22SmYCba7JJPLGZWhVRnKhmfWdFc3W3sszXcUhRD2MJEtTes4Ruvqi&#10;3zKmebZe78l+/TQ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daXYot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5888" behindDoc="1" locked="0" layoutInCell="1" allowOverlap="1">
                <wp:simplePos x="0" y="0"/>
                <wp:positionH relativeFrom="page">
                  <wp:posOffset>6853555</wp:posOffset>
                </wp:positionH>
                <wp:positionV relativeFrom="page">
                  <wp:posOffset>678180</wp:posOffset>
                </wp:positionV>
                <wp:extent cx="0" cy="3175"/>
                <wp:effectExtent l="0" t="0" r="0" b="0"/>
                <wp:wrapNone/>
                <wp:docPr id="54" name="105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4" o:spid="_x0000_s1026" o:spt="20" style="position:absolute;left:0pt;margin-left:539.65pt;margin-top:53.4pt;height:0.25pt;width:0pt;mso-position-horizontal-relative:page;mso-position-vertical-relative:page;z-index:-251630592;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npF72AEAAOIDAAAOAAAAZHJzL2Uyb0RvYy54bWytU02P0zAQ&#10;vSPxHyzfadrCAoqartCW5YKg0sIPmNqTxJK/5HGb9t8zTkJZlksPKJIznhm/mfc83tyfnRUnTGSC&#10;b+RqsZQCvQra+K6RP388vvkoBWXwGmzw2MgLkrzfvn61GWKN69AHqzEJBvFUD7GRfc6xripSPTqg&#10;RYjoOdiG5CDzNnWVTjAwurPVerl8Xw0h6ZiCQiL27qagnBHTLYChbY3CXVBHhz5PqAktZKZEvYkk&#10;t2O3bYsqf29bwixsI5lpHlcuwvahrNV2A3WXIPZGzS3ALS284OTAeC56hdpBBnFM5h8oZ1QKFNq8&#10;UMFVE5FREWaxWr7Q5qmHiCMXlpriVXT6f7Dq22mfhNGNvHsnhQfHN75ass3CDJFqjj/4fZp3FPep&#10;sDy3yZU/9y/Oo5iXq5h4zkJNTsXet6sPdwWs+nMqJspfMDhRjEZa4wtJqOH0lfKU+juluK0Xw4wj&#10;FPDEJa+lUC5y0+S78SgFa/SjsbYcoNQdHmwSJ+BL/7TmbzV38FdaqbED6qe8MVTSoO4R9GevRb5E&#10;VsPzK5ClA4dc1iI/mmKNmRmMvSWTyVtfoHEcyZlm0XdStFiHoC98FceYTNezLFPPJcJXP+o3j2mZ&#10;red7tp8/z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OmekXv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6912"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5" name="1055"/>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5" o:spid="_x0000_s1026" o:spt="20" style="position:absolute;left:0pt;margin-left:75.5pt;margin-top:53.65pt;height:1.1pt;width:0pt;mso-position-horizontal-relative:page;mso-position-vertical-relative:page;z-index:-251629568;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CNObUB3wEAAOMDAAAOAAAAZHJzL2Uyb0RvYy54bWytU02P0zAQ&#10;vSPxHyzfaZquloWo6QptWS4IVlr4AVN7kljylzxu0/57xkkpy3LpAVVKx57xm/eex+v7o7PigIlM&#10;8K2sF0sp0Kugje9b+fPH47sPUlAGr8EGj608Icn7zds36zE2uApDsBqTYBBPzRhbOeQcm6oiNaAD&#10;WoSInpNdSA4yL1Nf6QQjoztbrZbL99UYko4pKCTi3e2clGfEdA1g6DqjcBvU3qHPM2pCC5kl0WAi&#10;yc3EtutQ5e9dR5iFbSUrzdOXm3C8K99qs4amTxAHo84U4BoKrzQ5MJ6bXqC2kEHsk/kHyhmVAoUu&#10;L1Rw1SxkcoRV1MtX3jwPEHHSwlZTvJhO/w9WfTs8JWF0K29vpfDg+MbrJcdszBip4fyDf0rnFcWn&#10;VFQeu+TKP/MXx8nM08VMPGah5k3Fu/XNx7vJ5urPsZgof8HgRAlaaY0vKqGBw1fK3IpLf5eUbevF&#10;2Mqb+o4ZKuCRS15z5CKzJt9PRylYox+NteUApX73YJM4AN/6pxX/6qKHYf8qKz22QMNcN6XmeRgQ&#10;9GevRT5FtsPzM5CFgUNua5FfTYkYEJoMxl5Tya2tLwdwmsmzzGLwbGmJdkGf+C72MZl+YFtmziXD&#10;dz+xP89pGa6Xa45fvs3N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CNObUB3wEAAOM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7936"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56" name="105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6" o:spid="_x0000_s1026" o:spt="20" style="position:absolute;left:0pt;margin-left:539.65pt;margin-top:53.65pt;height:1.1pt;width:0pt;mso-position-horizontal-relative:page;mso-position-vertical-relative:page;z-index:-251628544;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NhxHp7gAQAA4wMAAA4AAABkcnMvZTJvRG9jLnhtbK1T&#10;TW/bMAy9D9h/EHRfHLdruxlxemjaXYYtQLcfwEiyLUBfEJU4+fejZC/tuksOhQGZEslHvidqdX+0&#10;hh1URO1dy+vFkjPlhJfa9S3//evp0xfOMIGTYLxTLT8p5Pfrjx9WY2jUlR+8kSoyAnHYjKHlQ0qh&#10;qSoUg7KACx+UI2fno4VE29hXMsJI6NZUV8vlbTX6KEP0QiHS6WZy8hkxXgLou04LtfFib5VLE2pU&#10;BhJRwkEH5OvSbdcpkX52HarETMuJaSorFSF7l9dqvYKmjxAGLeYW4JIW3nCyoB0VPUNtIAHbR/0f&#10;lNUievRdWghvq4lIUYRY1Ms32jwPEFThQlJjOIuO7wcrfhy2kWnZ8ptbzhxYuvF6STYJMwZsyP/g&#10;tnHeYdjGzPLYRZv/1D87FjFPZzHVMTExHQo6ra+/3hWZq5e0EDF9U96ybLTcaJdZQgOH75ioFIX+&#10;DcnHxrGx5df13Q1nAmjkopNk2UBdo+tLKnqj5ZM2Jidg7HcPJrID0K0/fs5f5kOw/4TlGhvAYYor&#10;rmkeBgXy0UmWToHkcPQMeO7AKiprFL2abBEgNAm0uSSSShuXE1SZyZlmFniSNFs7L090F/sQdT+Q&#10;LHXpOXvo7kv385zm4Xq9J/v121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ByCC2jZAAAADQEA&#10;AA8AAAAAAAAAAQAgAAAAIgAAAGRycy9kb3ducmV2LnhtbFBLAQIUABQAAAAIAIdO4kDYcR6e4AEA&#10;AOMDAAAOAAAAAAAAAAEAIAAAACgBAABkcnMvZTJvRG9jLnhtbFBLBQYAAAAABgAGAFkBAAB6BQAA&#10;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896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7" name="105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57" o:spid="_x0000_s1026" o:spt="20" style="position:absolute;left:0pt;margin-left:75.35pt;margin-top:54.85pt;height:0pt;width:0.25pt;mso-position-horizontal-relative:page;mso-position-vertical-relative:page;z-index:-251627520;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LSsAAfaAQAA4gMAAA4AAABkcnMvZTJvRG9jLnhtbK1TTY/T&#10;MBC9I/EfLN9pmqJlUdR0hbYsFwSVgB8wtSeJJX/J4zbtv2ecdMuyXHpAkZyxZ+bNvOfx+uHkrDhi&#10;IhN8K+vFUgr0Kmjj+1b++vn07qMUlMFrsMFjK89I8mHz9s16jA2uwhCsxiQYxFMzxlYOOcemqkgN&#10;6IAWIaJnZxeSg8zb1Fc6wcjozlar5fJDNYakYwoKifh0OzvlBTHdAhi6zijcBnVw6POMmtBCZko0&#10;mEhyM3Xbdajy964jzMK2kpnmaeUibO/LWm3W0PQJ4mDUpQW4pYVXnBwYz0WvUFvIIA7J/APljEqB&#10;QpcXKrhqJjIpwizq5SttfgwQceLCUlO8ik7/D1Z9O+6SMLqVd/dSeHB84/WSbRZmjNSw/9Hv0mVH&#10;cZcKy1OXXPlz/+I0iXm+iomnLBQfvq/v76RQz47qT1ZMlL9gcKIYrbTGF5LQwPErZa7Eoc8h5dh6&#10;MV7hgCcuec3ALnLT5PsplYI1+slYWxIo9ftHm8QR+NI/rfirCx2G/Sus1NgCDXPc5JrHYUDQn70W&#10;+RxZDc+vQJYOHHJZi/xoisWA0GQw9pZILm19ScBpJC80i76zosXaB33mqzjEZPqBZZl7Lh6++qn7&#10;y5iW2Xq5Z/vl09z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0rAAH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899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58" name="105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58" o:spid="_x0000_s1026" o:spt="20" style="position:absolute;left:0pt;margin-left:75.35pt;margin-top:54.85pt;height:0pt;width:0.25pt;mso-position-horizontal-relative:page;mso-position-vertical-relative:page;z-index:-251626496;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P2T6+3aAQAA4gMAAA4AAABkcnMvZTJvRG9jLnhtbK1T&#10;TW/bMAy9D9h/EHRvHHfrNhhxemjaXYYtwLYfwEiyLUBfIJU4+fej7DTtuksOgwGZEqlHvkdqdX/0&#10;ThwMko2hlfViKYUJKmob+lb+/vV080UKyhA0uBhMK0+G5P36/bvVmBpzG4fotEHBIIGaMbVyyDk1&#10;VUVqMB5oEZMJ7Owiesi8xb7SCCOje1fdLpefqjGiThiVIeLTzeyUZ0S8BjB2nVVmE9Xem5BnVDQO&#10;MlOiwSaS66narjMq/+g6Mlm4VjLTPK2chO1dWav1CpoeIQ1WnUuAa0p4w8mDDZz0ArWBDGKP9h8o&#10;bxVGil1eqOirmcikCLOol2+0+TlAMhMXlprSRXT6f7Dq+2GLwupW3nHfA3jueL1km4UZEzXsfwhb&#10;PO8obbGwPHboy5/rF8dJzNNFTHPMQvHhh/rznRTq2VG93EpI+auJXhSjlc6GQhIaOHyjzJk49Dmk&#10;HLsgxgsc8MRh0AzsExdNoZ+uUnRWP1nnygXCfvfgUByAm/74sXyFDsP+FVZybICGOW5yzeMwGNCP&#10;QYt8SqxG4FcgSwXecFpn+NEUiwGhyWDdNZGc2oVywUwjeaZZ9J0VLdYu6hO3Yp/Q9gPLUk81Fw+3&#10;fqr+PKZltl7v2X79NNd/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D9k+vt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32"/>
        </w:rPr>
        <mc:AlternateContent>
          <mc:Choice Requires="wps">
            <w:drawing>
              <wp:anchor distT="0" distB="0" distL="114300" distR="114300" simplePos="0" relativeHeight="251691008" behindDoc="1" locked="0" layoutInCell="1" allowOverlap="1">
                <wp:simplePos x="0" y="0"/>
                <wp:positionH relativeFrom="page">
                  <wp:posOffset>6853555</wp:posOffset>
                </wp:positionH>
                <wp:positionV relativeFrom="page">
                  <wp:posOffset>694690</wp:posOffset>
                </wp:positionV>
                <wp:extent cx="0" cy="3175"/>
                <wp:effectExtent l="0" t="0" r="0" b="0"/>
                <wp:wrapNone/>
                <wp:docPr id="59" name="106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0" o:spid="_x0000_s1026" o:spt="20" style="position:absolute;left:0pt;margin-left:539.65pt;margin-top:54.7pt;height:0.25pt;width:0pt;mso-position-horizontal-relative:page;mso-position-vertical-relative:page;z-index:-251625472;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QTmqrZAQAA4gMAAA4AAABkcnMvZTJvRG9jLnhtbK1T&#10;TY/TMBC9I/EfLN9pkoVdIGq6h+0uFwSVgB/g2pPEkr/kcZv23zN2QndZLj2gSM7YM35+73m8vj9Z&#10;w44QUXvX8WZVcwZOeqXd0PFfP5/efeIMk3BKGO+g42dAfr95+2Y9hRZu/OiNgsgIxGE7hY6PKYW2&#10;qlCOYAWufABHyd5HKxJN41CpKCZCt6a6qeu7avJRheglINLqdk7yBTFeA+j7XkvYenmw4NKMGsGI&#10;RJJw1AH5prDte5Dpe98jJGY6TkpTGekQivd5rDZr0Q5RhFHLhYK4hsIrTVZoR4deoLYiCXaI+h8o&#10;q2X06Pu0kt5Ws5DiCKlo6lfe/BhFgKKFrMZwMR3/H6z8dtxFplXHbz9z5oSlG2/qu2LMFLCl/IPb&#10;RbIpzzDsYlZ56qPNf+LPTsXM88VMOCUm50VJq++bj7fZ5ep5V4iYvoC3LAcdN9plkaIVx6+Y5tI/&#10;JXnZODYtOEwK6rjoFGfSBiKNbihb0RutnrQxeQPGYf9gIjsKuvTHD/lbGPxVls/YChznupKa22EE&#10;oR6dYukcyA1Hr4BnBhboWAP0aHJUGicJba6pJPHGZWpQWnKR+exojvZenekqDiHqYSRbmsI5Z+jq&#10;i39Lm+beejmn+OXT3P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QTmqrZAQAA4gMAAA4A&#10;AAAAAAAAAQAgAAAAKAEAAGRycy9lMm9Eb2MueG1sUEsFBgAAAAAGAAYAWQEAAHMFAAAAAA==&#10;">
                <v:fill on="f" focussize="0,0"/>
                <v:stroke weight="0.25pt" color="#E4E4E4" joinstyle="round" endcap="round"/>
                <v:imagedata o:title=""/>
                <o:lock v:ext="edit" aspectratio="f"/>
              </v:line>
            </w:pict>
          </mc:Fallback>
        </mc:AlternateContent>
      </w:r>
    </w:p>
    <w:p w14:paraId="7183CEC4">
      <w:pPr>
        <w:pStyle w:val="10"/>
        <w:tabs>
          <w:tab w:val="right" w:leader="dot" w:pos="9260"/>
        </w:tabs>
        <w:rPr>
          <w:rFonts w:hint="default" w:ascii="Times New Roman" w:hAnsi="Times New Roman" w:eastAsia="国标宋体" w:cs="Times New Roman"/>
          <w:color w:val="auto"/>
        </w:rPr>
      </w:pPr>
    </w:p>
    <w:p w14:paraId="0EE4AB95">
      <w:pPr>
        <w:pStyle w:val="10"/>
        <w:tabs>
          <w:tab w:val="right" w:leader="dot" w:pos="9260"/>
        </w:tabs>
        <w:rPr>
          <w:rFonts w:hint="default" w:ascii="Times New Roman" w:hAnsi="Times New Roman" w:eastAsia="国标宋体" w:cs="Times New Roman"/>
          <w:color w:val="auto"/>
        </w:rPr>
      </w:pPr>
    </w:p>
    <w:p w14:paraId="6ADA196A">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 w:val="24"/>
          <w:szCs w:val="22"/>
        </w:rPr>
        <w:fldChar w:fldCharType="begin"/>
      </w:r>
      <w:r>
        <w:rPr>
          <w:rFonts w:hint="default" w:ascii="Times New Roman" w:hAnsi="Times New Roman" w:eastAsia="国标宋体" w:cs="Times New Roman"/>
          <w:color w:val="auto"/>
          <w:sz w:val="24"/>
          <w:szCs w:val="22"/>
        </w:rPr>
        <w:instrText xml:space="preserve">TOC \o "1-1" \h</w:instrText>
      </w:r>
      <w:r>
        <w:rPr>
          <w:rFonts w:hint="default" w:ascii="Times New Roman" w:hAnsi="Times New Roman" w:eastAsia="国标宋体" w:cs="Times New Roman"/>
          <w:color w:val="auto"/>
          <w:sz w:val="24"/>
          <w:szCs w:val="22"/>
        </w:rPr>
        <w:fldChar w:fldCharType="separate"/>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_Toc1254472510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1 </w:t>
      </w:r>
      <w:r>
        <w:rPr>
          <w:rFonts w:hint="default" w:ascii="Times New Roman" w:hAnsi="Times New Roman" w:eastAsia="国标宋体" w:cs="Times New Roman"/>
          <w:color w:val="auto"/>
          <w:szCs w:val="22"/>
          <w:lang w:eastAsia="zh-CN"/>
        </w:rPr>
        <w:t>引言</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_Toc1254472510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8F75F0E">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_Toc2146526545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2 </w:t>
      </w:r>
      <w:r>
        <w:rPr>
          <w:rFonts w:hint="default" w:ascii="Times New Roman" w:hAnsi="Times New Roman" w:eastAsia="国标宋体" w:cs="Times New Roman"/>
          <w:color w:val="auto"/>
          <w:szCs w:val="22"/>
          <w:lang w:eastAsia="zh-CN"/>
        </w:rPr>
        <w:t>适用范围</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_Toc2146526545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133A92A">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_Toc1319773816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3 </w:t>
      </w:r>
      <w:r>
        <w:rPr>
          <w:rFonts w:hint="default" w:ascii="Times New Roman" w:hAnsi="Times New Roman" w:eastAsia="国标宋体" w:cs="Times New Roman"/>
          <w:color w:val="auto"/>
          <w:szCs w:val="22"/>
          <w:lang w:eastAsia="zh-CN"/>
        </w:rPr>
        <w:t>引用</w:t>
      </w:r>
      <w:r>
        <w:rPr>
          <w:rFonts w:hint="default" w:ascii="Times New Roman" w:hAnsi="Times New Roman" w:eastAsia="国标宋体" w:cs="Times New Roman"/>
          <w:color w:val="auto"/>
          <w:szCs w:val="22"/>
        </w:rPr>
        <w:t>文件</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_Toc1319773816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91233D9">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_Toc24999933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4 </w:t>
      </w:r>
      <w:r>
        <w:rPr>
          <w:rFonts w:hint="default" w:ascii="Times New Roman" w:hAnsi="Times New Roman" w:eastAsia="国标宋体" w:cs="Times New Roman"/>
          <w:color w:val="auto"/>
          <w:szCs w:val="22"/>
          <w:lang w:eastAsia="zh-CN"/>
        </w:rPr>
        <w:t>术语</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_Toc24999933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777926ED">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_Toc605578172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5 鉴定评审程序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_Toc605578172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E91A334">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_Toc1561122481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 xml:space="preserve">6 </w:t>
      </w:r>
      <w:r>
        <w:rPr>
          <w:rFonts w:hint="default" w:ascii="Times New Roman" w:hAnsi="Times New Roman" w:eastAsia="国标宋体" w:cs="Times New Roman"/>
          <w:color w:val="auto"/>
          <w:szCs w:val="22"/>
          <w:highlight w:val="none"/>
          <w:lang w:eastAsia="zh-CN"/>
        </w:rPr>
        <w:t>迎</w:t>
      </w:r>
      <w:r>
        <w:rPr>
          <w:rFonts w:hint="default" w:ascii="Times New Roman" w:hAnsi="Times New Roman" w:eastAsia="国标宋体" w:cs="Times New Roman"/>
          <w:color w:val="auto"/>
          <w:szCs w:val="22"/>
          <w:highlight w:val="none"/>
        </w:rPr>
        <w:t>审准备</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_Toc1561122481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10</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4DBE291">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_Toc83596917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7 现场鉴定评审的配合事项</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_Toc83596917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5392BA65">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_Toc1396437469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8 鉴定评审报告</w:t>
      </w:r>
      <w:r>
        <w:rPr>
          <w:rFonts w:hint="default" w:ascii="Times New Roman" w:hAnsi="Times New Roman" w:eastAsia="国标宋体" w:cs="Times New Roman"/>
          <w:color w:val="auto"/>
          <w:szCs w:val="22"/>
          <w:lang w:val="en-US" w:eastAsia="zh-CN"/>
        </w:rPr>
        <w:t>及过程抽查</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_Toc1396437469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CC2C036">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_Toc309494027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9 申诉处理</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_Toc309494027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12</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3F128945">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_Toc185315905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附录A  评审现场核查的资源条件资料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_Toc185315905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44584ABC">
      <w:pPr>
        <w:pStyle w:val="10"/>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_Toc1234831953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A1评审现场核查的纸质资料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_Toc1234831953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2F1F9E9F">
      <w:pPr>
        <w:pStyle w:val="10"/>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_Toc1696618439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A2评审现场核查的人员</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_Toc1696618439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15</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1B31DDF1">
      <w:pPr>
        <w:pStyle w:val="10"/>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_Toc415751987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A3评审现场核查的设备</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_Toc415751987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18</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7EB1F59">
      <w:pPr>
        <w:pStyle w:val="10"/>
        <w:tabs>
          <w:tab w:val="right" w:leader="dot" w:pos="9746"/>
        </w:tabs>
        <w:spacing w:line="360" w:lineRule="auto"/>
        <w:ind w:left="420" w:firstLine="420"/>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_Toc1620741251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lang w:val="en-US" w:eastAsia="zh-CN"/>
        </w:rPr>
        <w:t>A4评审现场核查的场地</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_Toc1620741251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24</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54A10C81">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_Toc1037389312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附录B  质量管理体系迎审应当准备的材料</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_Toc1037389312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26</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C811C51">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_Toc657676304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附录C  检验能力</w:t>
      </w:r>
      <w:r>
        <w:rPr>
          <w:rFonts w:hint="default" w:ascii="Times New Roman" w:hAnsi="Times New Roman" w:eastAsia="国标宋体" w:cs="Times New Roman"/>
          <w:bCs w:val="0"/>
          <w:color w:val="auto"/>
          <w:szCs w:val="22"/>
          <w:lang w:eastAsia="zh-CN"/>
        </w:rPr>
        <w:t>审查</w:t>
      </w:r>
      <w:r>
        <w:rPr>
          <w:rFonts w:hint="default" w:ascii="Times New Roman" w:hAnsi="Times New Roman" w:eastAsia="国标宋体" w:cs="Times New Roman"/>
          <w:bCs w:val="0"/>
          <w:color w:val="auto"/>
          <w:szCs w:val="22"/>
        </w:rPr>
        <w:t>程序及要求</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_Toc657676304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33</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1C469A02">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_Toc854894351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附录D  整改报告格式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_Toc854894351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37</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0D627DE">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_Toc1038397227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附录E  整改报告编制要求</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_Toc1038397227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41</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62A9D9CA">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_Toc1769274871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rPr>
        <w:t>附录F  不符合整改现场确认程序</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_Toc1769274871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45</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701070E0">
      <w:pPr>
        <w:pStyle w:val="10"/>
        <w:tabs>
          <w:tab w:val="right" w:leader="dot" w:pos="9746"/>
        </w:tabs>
        <w:spacing w:line="360" w:lineRule="auto"/>
        <w:rPr>
          <w:rFonts w:hint="default" w:ascii="Times New Roman" w:hAnsi="Times New Roman" w:eastAsia="国标宋体" w:cs="Times New Roman"/>
          <w:color w:val="auto"/>
          <w:szCs w:val="22"/>
        </w:rPr>
      </w:pP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HYPERLINK \l _Toc920595687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bCs w:val="0"/>
          <w:color w:val="auto"/>
          <w:szCs w:val="22"/>
          <w:lang w:val="en-US" w:eastAsia="zh-CN"/>
        </w:rPr>
        <w:t>附件G   终止评审确认表</w:t>
      </w:r>
      <w:r>
        <w:rPr>
          <w:rFonts w:hint="default" w:ascii="Times New Roman" w:hAnsi="Times New Roman" w:eastAsia="国标宋体" w:cs="Times New Roman"/>
          <w:color w:val="auto"/>
          <w:szCs w:val="22"/>
        </w:rPr>
        <w:tab/>
      </w:r>
      <w:r>
        <w:rPr>
          <w:rFonts w:hint="default" w:ascii="Times New Roman" w:hAnsi="Times New Roman" w:eastAsia="国标宋体" w:cs="Times New Roman"/>
          <w:color w:val="auto"/>
          <w:szCs w:val="22"/>
        </w:rPr>
        <w:fldChar w:fldCharType="begin"/>
      </w:r>
      <w:r>
        <w:rPr>
          <w:rFonts w:hint="default" w:ascii="Times New Roman" w:hAnsi="Times New Roman" w:eastAsia="国标宋体" w:cs="Times New Roman"/>
          <w:color w:val="auto"/>
          <w:szCs w:val="22"/>
        </w:rPr>
        <w:instrText xml:space="preserve"> PAGEREF _Toc920595687 \h </w:instrText>
      </w:r>
      <w:r>
        <w:rPr>
          <w:rFonts w:hint="default" w:ascii="Times New Roman" w:hAnsi="Times New Roman" w:eastAsia="国标宋体" w:cs="Times New Roman"/>
          <w:color w:val="auto"/>
          <w:szCs w:val="22"/>
        </w:rPr>
        <w:fldChar w:fldCharType="separate"/>
      </w:r>
      <w:r>
        <w:rPr>
          <w:rFonts w:hint="default" w:ascii="Times New Roman" w:hAnsi="Times New Roman" w:eastAsia="国标宋体" w:cs="Times New Roman"/>
          <w:color w:val="auto"/>
          <w:szCs w:val="22"/>
        </w:rPr>
        <w:t>47</w:t>
      </w:r>
      <w:r>
        <w:rPr>
          <w:rFonts w:hint="default" w:ascii="Times New Roman" w:hAnsi="Times New Roman" w:eastAsia="国标宋体" w:cs="Times New Roman"/>
          <w:color w:val="auto"/>
          <w:szCs w:val="22"/>
        </w:rPr>
        <w:fldChar w:fldCharType="end"/>
      </w:r>
      <w:r>
        <w:rPr>
          <w:rFonts w:hint="default" w:ascii="Times New Roman" w:hAnsi="Times New Roman" w:eastAsia="国标宋体" w:cs="Times New Roman"/>
          <w:color w:val="auto"/>
          <w:szCs w:val="22"/>
        </w:rPr>
        <w:fldChar w:fldCharType="end"/>
      </w:r>
    </w:p>
    <w:p w14:paraId="010477F0">
      <w:pPr>
        <w:pStyle w:val="10"/>
        <w:tabs>
          <w:tab w:val="right" w:leader="dot" w:pos="9746"/>
        </w:tabs>
        <w:autoSpaceDE/>
        <w:autoSpaceDN/>
        <w:snapToGrid/>
        <w:spacing w:before="0" w:line="360" w:lineRule="auto"/>
        <w:jc w:val="left"/>
        <w:rPr>
          <w:rFonts w:hint="default" w:ascii="Times New Roman" w:hAnsi="Times New Roman" w:eastAsia="国标宋体" w:cs="Times New Roman"/>
          <w:color w:val="auto"/>
          <w:sz w:val="32"/>
        </w:rPr>
        <w:sectPr>
          <w:pgSz w:w="11906" w:h="16838"/>
          <w:pgMar w:top="1440" w:right="1080" w:bottom="1440" w:left="1080" w:header="567" w:footer="706" w:gutter="0"/>
          <w:pgBorders>
            <w:top w:val="none" w:sz="0" w:space="0"/>
            <w:left w:val="none" w:sz="0" w:space="0"/>
            <w:bottom w:val="none" w:sz="0" w:space="0"/>
            <w:right w:val="none" w:sz="0" w:space="0"/>
          </w:pgBorders>
          <w:pgNumType w:fmt="decimal" w:start="1"/>
          <w:cols w:space="720" w:num="1"/>
        </w:sectPr>
      </w:pPr>
      <w:r>
        <w:rPr>
          <w:rFonts w:hint="default" w:ascii="Times New Roman" w:hAnsi="Times New Roman" w:eastAsia="国标宋体" w:cs="Times New Roman"/>
          <w:color w:val="auto"/>
          <w:sz w:val="24"/>
          <w:szCs w:val="22"/>
        </w:rPr>
        <w:fldChar w:fldCharType="end"/>
      </w:r>
    </w:p>
    <w:p w14:paraId="72C9376E">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6" w:name="_Toc808166433"/>
      <w:bookmarkStart w:id="7" w:name="_Toc89956980"/>
      <w:bookmarkStart w:id="8" w:name="_Toc26049"/>
      <w:bookmarkStart w:id="9" w:name="_Toc27354"/>
      <w:bookmarkStart w:id="10" w:name="_Toc24160"/>
      <w:bookmarkStart w:id="11" w:name="_Toc21960"/>
      <w:bookmarkStart w:id="12" w:name="_Toc73741644"/>
      <w:bookmarkStart w:id="13" w:name="_Toc20417"/>
      <w:r>
        <w:rPr>
          <w:rFonts w:hint="default" w:ascii="Times New Roman" w:hAnsi="Times New Roman" w:eastAsia="国标宋体" w:cs="Times New Roman"/>
          <w:color w:val="auto"/>
          <w:sz w:val="28"/>
          <w:szCs w:val="28"/>
          <w:lang w:eastAsia="zh-CN"/>
        </w:rPr>
        <w:t xml:space="preserve"> </w:t>
      </w:r>
      <w:bookmarkStart w:id="14" w:name="_Toc1254472510"/>
      <w:r>
        <w:rPr>
          <w:rFonts w:hint="default" w:ascii="Times New Roman" w:hAnsi="Times New Roman" w:eastAsia="国标宋体" w:cs="Times New Roman"/>
          <w:color w:val="auto"/>
          <w:sz w:val="28"/>
          <w:szCs w:val="28"/>
          <w:lang w:eastAsia="zh-CN"/>
        </w:rPr>
        <w:t>引言</w: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59264"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 name="106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2" o:spid="_x0000_s1026" o:spt="20" style="position:absolute;left:0pt;margin-left:75.35pt;margin-top:53.5pt;height:0pt;width:0.25pt;mso-position-horizontal-relative:page;mso-position-vertical-relative:page;z-index:-251657216;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BQHTLTZAQAA4QMAAA4AAABkcnMvZTJvRG9jLnhtbK1TTY/T&#10;MBC9I/EfLN9pmiIWFDVdoS3LBUEllh8wtZ3Ekr804zbtv2ecdMuyXHpAkZyxZ+bNvOfx+v7knTga&#10;JBtDK+vFUgoTVNQ29K389fT47pMUlCFocDGYVp4NyfvN2zfrMTVmFYfotEHBIIGaMbVyyDk1VUVq&#10;MB5oEZMJ7Owiesi8xb7SCCOje1etlsu7aoyoE0ZliPh0OzvlBRFvAYxdZ5XZRnXwJuQZFY2DzJRo&#10;sInkZuq264zKP7qOTBaulcw0TysXYXtf1mqzhqZHSINVlxbglhZecfJgAxe9Qm0hgzig/QfKW4WR&#10;YpcXKvpqJjIpwizq5Sttfg6QzMSFpaZ0FZ3+H6z6ftyhsJonQYoAni+8Xt6tii5joobdD2GHlx2l&#10;HRaSpw59+XP74jRpeb5qaU5ZKD58X3/8IIV6dlR/shJS/mqiF8VopbOhcIQGjt8ocyUOfQ4pxy6I&#10;8QoHPHAYNAP7xD1T6KdUis7qR+tcSSDs9w8OxRH4zj+v+KsLHYb9K6zU2AINc9zkmqdhMKC/BC3y&#10;ObEagR+BLB14w2Wd4TdTLAaEJoN1t0RyaRdKgpkm8kKz6DsrWqx91Ge+iUNC2w8sy9xz8fDNT91f&#10;prSM1ss92y9f5uY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RmqgfNYAAAALAQAADwAAAAAAAAAB&#10;ACAAAAAiAAAAZHJzL2Rvd25yZXYueG1sUEsBAhQAFAAAAAgAh07iQBQHTLTZAQAA4Q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0288" behindDoc="1" locked="0" layoutInCell="1" allowOverlap="1">
                <wp:simplePos x="0" y="0"/>
                <wp:positionH relativeFrom="page">
                  <wp:posOffset>6853555</wp:posOffset>
                </wp:positionH>
                <wp:positionV relativeFrom="page">
                  <wp:posOffset>678180</wp:posOffset>
                </wp:positionV>
                <wp:extent cx="0" cy="3175"/>
                <wp:effectExtent l="0" t="0" r="0" b="0"/>
                <wp:wrapNone/>
                <wp:docPr id="3" name="106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4" o:spid="_x0000_s1026" o:spt="20" style="position:absolute;left:0pt;margin-left:539.65pt;margin-top:53.4pt;height:0.25pt;width:0pt;mso-position-horizontal-relative:page;mso-position-vertical-relative:page;z-index:-251656192;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JRnSBdgBAADhAwAADgAAAGRycy9lMm9Eb2MueG1srVNN&#10;b9swDL0P2H8QdF9st103GHF6aNpdhi3Auh/ASLItQF8QlTj596NkL+u6Sw6DAZkiqUe+J2r9cLKG&#10;HVVE7V3Hm1XNmXLCS+2Gjv98ef7wmTNM4CQY71THzwr5w+b9u/UUWnXjR2+kioxAHLZT6PiYUmir&#10;CsWoLODKB+Uo2PtoIdE2DpWMMBG6NdVNXd9Xk48yRC8UInm3c5AviPEaQN/3WqitFwerXJpRozKQ&#10;iBKOOiDflG77Xon0ve9RJWY6TkxTWakI2fu8Vps1tEOEMGqxtADXtPCGkwXtqOgFagsJ2CHqf6Cs&#10;FtGj79NKeFvNRIoixKKp32jzY4SgCheSGsNFdPx/sOLbcReZlh2/5cyBpQtv6vu7rMsUsKXwo9vF&#10;ZYdhFzPJUx9t/lP77FS0PF+0VKfExOwU5L1tPn3MYNWfUyFi+qK8ZdnouNEuc4QWjl8xzam/U7Lb&#10;ODYtOEwADVx0kjNhA/WMbihH0Rstn7Ux+QDGYf9oIjsC3fnTXf6WDv5KyzW2gOOcV0I5DdpRgXxy&#10;kqVzIDUcPQKeO7CKyhpFbyZbJTOBNtdkEnnjMrQqE7nQzPrOimZr7+WZbuIQoh5GkqUpPecI3XzR&#10;b5nSPFqv92S/fpmb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AzL1jYAAAADQEAAA8AAAAAAAAA&#10;AQAgAAAAIgAAAGRycy9kb3ducmV2LnhtbFBLAQIUABQAAAAIAIdO4kAlGdIF2AEAAOEDAAAOAAAA&#10;AAAAAAEAIAAAACcBAABkcnMvZTJvRG9jLnhtbFBLBQYAAAAABgAGAFkBAABx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1312" behindDoc="1" locked="0" layoutInCell="1" allowOverlap="1">
                <wp:simplePos x="0" y="0"/>
                <wp:positionH relativeFrom="page">
                  <wp:posOffset>6853555</wp:posOffset>
                </wp:positionH>
                <wp:positionV relativeFrom="page">
                  <wp:posOffset>678180</wp:posOffset>
                </wp:positionV>
                <wp:extent cx="0" cy="3175"/>
                <wp:effectExtent l="0" t="0" r="0" b="0"/>
                <wp:wrapNone/>
                <wp:docPr id="4" name="1065"/>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5" o:spid="_x0000_s1026" o:spt="20" style="position:absolute;left:0pt;margin-left:539.65pt;margin-top:53.4pt;height:0.25pt;width:0pt;mso-position-horizontal-relative:page;mso-position-vertical-relative:page;z-index:-251655168;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CJXDXm2gEAAOEDAAAOAAAAZHJzL2Uyb0RvYy54bWytU02P0zAQ&#10;vSPxHyzfadoCC4qartCW5YKg0sIPmNqTxJK/5HGb9t8zTkJZlksPKJIz9sy8mfc83tyfnRUnTGSC&#10;b+RqsZQCvQra+K6RP388vvkoBWXwGmzw2MgLkrzfvn61GWKN69AHqzEJBvFUD7GRfc6xripSPTqg&#10;RYjo2dmG5CDzNnWVTjAwurPVerm8q4aQdExBIRGf7iannBHTLYChbY3CXVBHhz5PqAktZKZEvYkk&#10;t2O3bYsqf29bwixsI5lpHlcuwvahrNV2A3WXIPZGzS3ALS284OTAeC56hdpBBnFM5h8oZ1QKFNq8&#10;UMFVE5FREWaxWr7Q5qmHiCMXlpriVXT6f7Dq22mfhNGNfCeFB8cXvlrevS+6DJFqdj/4fZp3FPep&#10;kDy3yZU/ty/Oo5aXq5Z4zkJNh4pP364+jGDVn6yYKH/B4EQxGmmNLxyhhtNXylyJQ3+HlGPrxTDj&#10;CAU8cMlrKZSL3DP5bkylYI1+NNaWBErd4cEmcQK+809r/laFDsP+FVZq7ID6KW50TdPQI+jPXot8&#10;iayG50cgSwcOuaxFfjPFYkCoMxh7SySXtr4k4DiRM82i76RosQ5BX/gmjjGZrmdZpp6Lh29+7H6e&#10;0jJaz/dsP3+Z2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SzruH1AAAAA0BAAAPAAAAAAAAAAEA&#10;IAAAACIAAABkcnMvZG93bnJldi54bWxQSwECFAAUAAAACACHTuJAiVw15toBAADhAwAADgAAAAAA&#10;AAABACAAAAAjAQAAZHJzL2Uyb0RvYy54bWxQSwUGAAAAAAYABgBZAQAAbw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2336"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5" name="1066"/>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6" o:spid="_x0000_s1026" o:spt="20" style="position:absolute;left:0pt;margin-left:75.5pt;margin-top:53.65pt;height:1.1pt;width:0pt;mso-position-horizontal-relative:page;mso-position-vertical-relative:page;z-index:-251654144;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mdOvn3wEAAOIDAAAOAAAAZHJzL2Uyb0RvYy54bWytU02P0zAQ&#10;vSPxHyzfaZKu6ELUdIW2LBcElRZ+wNR2Ekv+ksdt2n/P2CllWS49oErp2DN+897zeP1wsoYdVUTt&#10;XcebRc2ZcsJL7YaO//zx9O4DZ5jASTDeqY6fFfKHzds36ym0aulHb6SKjEActlPo+JhSaKsKxags&#10;4MIH5SjZ+2gh0TIOlYwwEbo11bKuV9XkowzRC4VIu9s5yS+I8RZA3/daqK0XB6tcmlGjMpBIEo46&#10;IN8Utn2vRPre96gSMx0npal8qQnF+/ytNmtohwhh1OJCAW6h8EqTBe2o6RVqCwnYIep/oKwW0aPv&#10;00J4W81CiiOkoqlfefM8QlBFC1mN4Wo6/j9Y8e24i0zLjr/nzIGlC2/q1Sr7MgVsKf3odvGywrCL&#10;WeSpjzb/E312Kl6er16qU2Ji3hS029x9vC8uV3+OhYjpi/KW5aDjRrssElo4fsVEraj0d0neNo5N&#10;Hb9r7omhAJq46CRFNhBpdEM5it5o+aSNyQcwDvtHE9kR6NI/LenXZD0E+1dZ7rEFHOe6kprHYVQg&#10;PzvJ0jmQHY5eAc8MrKK2RtGjyREBQptAm1sqqbVx+YAqI3mRmQ2eLc3R3sszXcUhRD2MZMvMOWfo&#10;6gv7y5jm2Xq5pvjl09z8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ymrM/UAAAACwEAAA8AAAAA&#10;AAAAAQAgAAAAIgAAAGRycy9kb3ducmV2LnhtbFBLAQIUABQAAAAIAIdO4kBmdOvn3wEAAOIDAAAO&#10;AAAAAAAAAAEAIAAAACMBAABkcnMvZTJvRG9jLnhtbFBLBQYAAAAABgAGAFkBAAB0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3360"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6" name="1067"/>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7" o:spid="_x0000_s1026" o:spt="20" style="position:absolute;left:0pt;margin-left:539.65pt;margin-top:53.65pt;height:1.1pt;width:0pt;mso-position-horizontal-relative:page;mso-position-vertical-relative:page;z-index:-251653120;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EK0MdPfAQAA4gMAAA4AAABkcnMvZTJvRG9jLnhtbK1T&#10;TY/TMBC9I/EfLN9pkl1oIWq6h+0uFwSVgB8wtZ3Ekr/kcZv23zN2SlmWSw8okjP2zLyZ9zxeP5ys&#10;YUcVUXvX8WZRc6ac8FK7oeM/fzy/+8gZJnASjHeq42eF/GHz9s16Cq2686M3UkVGIA7bKXR8TCm0&#10;VYViVBZw4YNy5Ox9tJBoG4dKRpgI3Zrqrq6X1eSjDNELhUin29nJL4jxFkDf91qorRcHq1yaUaMy&#10;kIgSjjog35Ru+16J9K3vUSVmOk5MU1mpCNn7vFabNbRDhDBqcWkBbmnhFScL2lHRK9QWErBD1P9A&#10;WS2iR9+nhfC2mokURYhFU7/S5vsIQRUuJDWGq+j4/2DF1+MuMi07vuTMgaULb+rlKusyBWzJ/eh2&#10;8bLDsIuZ5KmPNv+pfXYqWp6vWqpTYmI+FHTa3H9aFZWrP2khYvqsvGXZ6LjRLpOEFo5fMFEpCv0d&#10;ko+NY1PH75vVB84E0MRFJ8mygZpGN5RU9EbLZ21MTsA47B9NZEegS396n7/Mh2D/Css1toDjHFdc&#10;8ziMCuSTkyydA8nh6BXw3IFVVNYoejTZIkBoE2hzSySVNi4nqDKSF5pZ4FnSbO29PNNVHELUw0iy&#10;NKXn7KGrL91fxjTP1ss92S+f5uY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EK0MdPfAQAA&#10;4g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4384"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7" name="1068"/>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68" o:spid="_x0000_s1026" o:spt="20" style="position:absolute;left:0pt;margin-left:75.35pt;margin-top:54.85pt;height:0pt;width:0.25pt;mso-position-horizontal-relative:page;mso-position-vertical-relative:page;z-index:-251652096;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Ju6TU/aAQAA4QMAAA4AAABkcnMvZTJvRG9jLnhtbK1TTW/b&#10;MAy9D9h/EHRfnGRYWxhxiqJZdxm2AOt+ACPRtgB9QVTi5N+PstO06y45DAZkSiQf+Z6o1f3RWXHA&#10;RCb4Ri5mcynQq6CN7xr5+/np050UlMFrsMFjI09I8n798cNqiDUuQx+sxiQYxFM9xEb2Oce6qkj1&#10;6IBmIaJnZxuSg8zb1FU6wcDozlbL+fymGkLSMQWFRHy6mZzyjJiuAQxtaxRugto79HlCTWghMyXq&#10;TSS5HrttW1T5Z9sSZmEbyUzzuHIRtndlrdYrqLsEsTfq3AJc08I7Tg6M56IXqA1kEPtk/oFyRqVA&#10;oc0zFVw1ERkVYRaL+TttfvUQceTCUlO8iE7/D1b9OGyTMLqRt1J4cHzhi/nNXdFliFSz+9Fv03lH&#10;cZsKyWObXPlz++I4anm6aInHLBQffl7cfpFCvTiq16yYKH/D4EQxGmmNLxyhhsN3ylyJQ19CyrH1&#10;YrjAAQ9c8pqBXeSeyXdjKgVr9JOxtiRQ6naPNokD8J0/LPlbFDoM+1dYqbEB6qe40TVNQ4+gv3ot&#10;8imyGp4fgSwdOOSyFvnNFIsBoc5g7DWRXNr6koDjRJ5pFn0nRYu1C/rEN7GPyXQ9yzL1XDx882P3&#10;5ykto/V2z/bbl7n+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Cbuk1P2gEAAOE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540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8" name="1069"/>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69" o:spid="_x0000_s1026" o:spt="20" style="position:absolute;left:0pt;margin-left:75.35pt;margin-top:54.85pt;height:0pt;width:0.25pt;mso-position-horizontal-relative:page;mso-position-vertical-relative:page;z-index:-251651072;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J1RT3DaAQAA4QMAAA4AAABkcnMvZTJvRG9jLnhtbK1T&#10;TW/bMAy9D9h/EHRfnHRbtxlxemjaXYYtQLcfwEi0LUBfEJU4+fejbDfruksOgwGZEqlHvkdqfXdy&#10;VhwxkQm+kavFUgr0Kmjju0b++vn47rMUlMFrsMFjI89I8m7z9s16iDXehD5YjUkwiKd6iI3sc451&#10;VZHq0QEtQkTPzjYkB5m3qat0goHRna1ulsvbaghJxxQUEvHpdnLKGTFdAxja1ijcBnVw6POEmtBC&#10;ZkrUm0hyM1bbtqjyj7YlzMI2kpnmceUkbO/LWm3WUHcJYm/UXAJcU8IrTg6M56QXqC1kEIdk/oFy&#10;RqVAoc0LFVw1ERkVYRar5SttnnqIOHJhqSleRKf/B6u+H3dJGN1IbrsHxw1fLW+/FF2GSDW77/0u&#10;zTuKu1RIntrkyp/LF6dRy/NFSzxlofjw/erTRynUs6P6cysmyl8xOFGMRlrjC0eo4fiNMmfi0OeQ&#10;cmy9GC5wwAOXvGZgF7lm8t14lYI1+tFYWy5Q6vb3NokjcM8fPpSv0GHYv8JKji1QP8WNrmkaegT9&#10;4LXI58hqeH4EslTgkNNa5DdTLAaEOoOx10RyauvLBRwncqZZ9J0ULdY+6DN34hCT6XqWZTXWXDzc&#10;+bH6eUrLaL3cs/3yZW5+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CdUU9w2gEAAOE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z w:val="28"/>
          <w:szCs w:val="28"/>
        </w:rPr>
        <mc:AlternateContent>
          <mc:Choice Requires="wps">
            <w:drawing>
              <wp:anchor distT="0" distB="0" distL="114300" distR="114300" simplePos="0" relativeHeight="251666432" behindDoc="1" locked="0" layoutInCell="1" allowOverlap="1">
                <wp:simplePos x="0" y="0"/>
                <wp:positionH relativeFrom="page">
                  <wp:posOffset>6853555</wp:posOffset>
                </wp:positionH>
                <wp:positionV relativeFrom="page">
                  <wp:posOffset>694690</wp:posOffset>
                </wp:positionV>
                <wp:extent cx="0" cy="3175"/>
                <wp:effectExtent l="0" t="0" r="0" b="0"/>
                <wp:wrapNone/>
                <wp:docPr id="9" name="1071"/>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71" o:spid="_x0000_s1026" o:spt="20" style="position:absolute;left:0pt;margin-left:539.65pt;margin-top:54.7pt;height:0.25pt;width:0pt;mso-position-horizontal-relative:page;mso-position-vertical-relative:page;z-index:-251650048;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DVZT5zZAQAA4QMAAA4AAABkcnMvZTJvRG9jLnhtbK1T&#10;TW/bMAy9D9h/EHRfbLfbuhpxemjaXYYtwLYfwEiyLUBfEJU4+fejZC/ruksOgwGZEqlHvkdq/XCy&#10;hh1VRO1dx5tVzZlywkvtho7//PH87hNnmMBJMN6pjp8V8ofN2zfrKbTqxo/eSBUZgThsp9DxMaXQ&#10;VhWKUVnAlQ/KkbP30UKibRwqGWEidGuqm7r+WE0+yhC9UIh0up2dfEGM1wD6vtdCbb04WOXSjBqV&#10;gUSUcNQB+aZU2/dKpG99jyox03FimspKScje57XarKEdIoRRi6UEuKaEV5wsaEdJL1BbSMAOUf8D&#10;ZbWIHn2fVsLbaiZSFCEWTf1Km+8jBFW4kNQYLqLj/4MVX4+7yLTs+D1nDiw1vKnvmqzLFLAl96Pb&#10;xWWHYRczyVMfbf5T+exUtDxftFSnxMR8KOj0trn7kMGqP7dCxPRZecuy0XGjXeYILRy/YJpDf4fk&#10;Y+PYtOAwATRw0UnOhA1UM7qhXEVvtHzWxuQLGIf9o4nsCNTzp/f5Wyr4Kyzn2AKOc1xx5TBoRwXy&#10;yUmWzoHUcPQIeK7AKkprFL2ZbJXIBNpcE0nkjcvQqkzkQjPrOyuarb2XZ+rEIUQ9jCRLaUGVPdT5&#10;ot8ypXm0Xu7JfvkyN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DVZT5zZAQAA4QMAAA4A&#10;AAAAAAAAAQAgAAAAKAEAAGRycy9lMm9Eb2MueG1sUEsFBgAAAAAGAAYAWQEAAHMFAAAAAA==&#10;">
                <v:fill on="f" focussize="0,0"/>
                <v:stroke weight="0.25pt" color="#E4E4E4" joinstyle="round" endcap="round"/>
                <v:imagedata o:title=""/>
                <o:lock v:ext="edit" aspectratio="f"/>
              </v:line>
            </w:pict>
          </mc:Fallback>
        </mc:AlternateContent>
      </w:r>
      <w:bookmarkEnd w:id="6"/>
      <w:bookmarkEnd w:id="7"/>
      <w:bookmarkEnd w:id="8"/>
      <w:bookmarkEnd w:id="9"/>
      <w:bookmarkEnd w:id="10"/>
      <w:bookmarkEnd w:id="11"/>
      <w:bookmarkEnd w:id="12"/>
      <w:bookmarkEnd w:id="13"/>
      <w:bookmarkEnd w:id="14"/>
    </w:p>
    <w:p w14:paraId="762F0263">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本指南为四川省质量技术审评中心依据</w:t>
      </w:r>
      <w:r>
        <w:rPr>
          <w:rFonts w:hint="default" w:ascii="Times New Roman" w:hAnsi="Times New Roman" w:eastAsia="国标宋体" w:cs="Times New Roman"/>
          <w:color w:val="auto"/>
          <w:spacing w:val="2"/>
          <w:sz w:val="28"/>
          <w:szCs w:val="28"/>
        </w:rPr>
        <w:t>《中华人民共和国特种设备安全法》《特种设备检验机构核准规则》（以下简称《核准规则》）</w:t>
      </w:r>
      <w:r>
        <w:rPr>
          <w:rFonts w:hint="eastAsia" w:eastAsia="国标宋体" w:cs="Times New Roman"/>
          <w:color w:val="auto"/>
          <w:spacing w:val="2"/>
          <w:sz w:val="28"/>
          <w:szCs w:val="28"/>
          <w:lang w:eastAsia="zh-CN"/>
        </w:rPr>
        <w:t>等</w:t>
      </w:r>
      <w:r>
        <w:rPr>
          <w:rFonts w:hint="default" w:ascii="Times New Roman" w:hAnsi="Times New Roman" w:eastAsia="国标宋体" w:cs="Times New Roman"/>
          <w:color w:val="auto"/>
          <w:sz w:val="28"/>
          <w:szCs w:val="28"/>
        </w:rPr>
        <w:t>特种设备相关法律、法规、规章</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安全技术规范</w:t>
      </w:r>
      <w:r>
        <w:rPr>
          <w:rFonts w:hint="eastAsia" w:eastAsia="国标宋体" w:cs="Times New Roman"/>
          <w:color w:val="auto"/>
          <w:sz w:val="28"/>
          <w:szCs w:val="28"/>
          <w:lang w:eastAsia="zh-CN"/>
        </w:rPr>
        <w:t>及国家市场监督管理总局、四川省市场监督管理局相关要求</w:t>
      </w:r>
      <w:r>
        <w:rPr>
          <w:rFonts w:hint="default" w:ascii="Times New Roman" w:hAnsi="Times New Roman" w:eastAsia="国标宋体" w:cs="Times New Roman"/>
          <w:color w:val="auto"/>
          <w:sz w:val="28"/>
          <w:szCs w:val="28"/>
        </w:rPr>
        <w:t>制定的鉴定评审操作指引</w:t>
      </w: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3"/>
          <w:sz w:val="28"/>
          <w:szCs w:val="28"/>
        </w:rPr>
        <w:t>是</w:t>
      </w:r>
      <w:r>
        <w:rPr>
          <w:rFonts w:hint="default" w:ascii="Times New Roman" w:hAnsi="Times New Roman" w:eastAsia="国标宋体" w:cs="Times New Roman"/>
          <w:color w:val="auto"/>
          <w:spacing w:val="5"/>
          <w:sz w:val="28"/>
          <w:szCs w:val="28"/>
        </w:rPr>
        <w:t>实</w:t>
      </w:r>
      <w:r>
        <w:rPr>
          <w:rFonts w:hint="default" w:ascii="Times New Roman" w:hAnsi="Times New Roman" w:eastAsia="国标宋体" w:cs="Times New Roman"/>
          <w:color w:val="auto"/>
          <w:spacing w:val="3"/>
          <w:sz w:val="28"/>
          <w:szCs w:val="28"/>
        </w:rPr>
        <w:t>施</w:t>
      </w:r>
      <w:r>
        <w:rPr>
          <w:rFonts w:hint="default" w:ascii="Times New Roman" w:hAnsi="Times New Roman" w:eastAsia="国标宋体" w:cs="Times New Roman"/>
          <w:color w:val="auto"/>
          <w:spacing w:val="5"/>
          <w:sz w:val="28"/>
          <w:szCs w:val="28"/>
        </w:rPr>
        <w:t>特</w:t>
      </w:r>
      <w:r>
        <w:rPr>
          <w:rFonts w:hint="default" w:ascii="Times New Roman" w:hAnsi="Times New Roman" w:eastAsia="国标宋体" w:cs="Times New Roman"/>
          <w:color w:val="auto"/>
          <w:spacing w:val="3"/>
          <w:sz w:val="28"/>
          <w:szCs w:val="28"/>
        </w:rPr>
        <w:t>种</w:t>
      </w:r>
      <w:r>
        <w:rPr>
          <w:rFonts w:hint="default" w:ascii="Times New Roman" w:hAnsi="Times New Roman" w:eastAsia="国标宋体" w:cs="Times New Roman"/>
          <w:color w:val="auto"/>
          <w:spacing w:val="5"/>
          <w:sz w:val="28"/>
          <w:szCs w:val="28"/>
        </w:rPr>
        <w:t>设</w:t>
      </w:r>
      <w:r>
        <w:rPr>
          <w:rFonts w:hint="default" w:ascii="Times New Roman" w:hAnsi="Times New Roman" w:eastAsia="国标宋体" w:cs="Times New Roman"/>
          <w:color w:val="auto"/>
          <w:spacing w:val="4"/>
          <w:sz w:val="28"/>
          <w:szCs w:val="28"/>
        </w:rPr>
        <w:t>备</w:t>
      </w:r>
      <w:r>
        <w:rPr>
          <w:rFonts w:hint="default" w:ascii="Times New Roman" w:hAnsi="Times New Roman" w:eastAsia="国标宋体" w:cs="Times New Roman"/>
          <w:color w:val="auto"/>
          <w:spacing w:val="3"/>
          <w:sz w:val="28"/>
          <w:szCs w:val="28"/>
        </w:rPr>
        <w:t>检验机</w:t>
      </w:r>
      <w:r>
        <w:rPr>
          <w:rFonts w:hint="default" w:ascii="Times New Roman" w:hAnsi="Times New Roman" w:eastAsia="国标宋体" w:cs="Times New Roman"/>
          <w:color w:val="auto"/>
          <w:spacing w:val="5"/>
          <w:sz w:val="28"/>
          <w:szCs w:val="28"/>
        </w:rPr>
        <w:t>构</w:t>
      </w:r>
      <w:r>
        <w:rPr>
          <w:rFonts w:hint="eastAsia" w:eastAsia="国标宋体" w:cs="Times New Roman"/>
          <w:color w:val="auto"/>
          <w:sz w:val="28"/>
          <w:szCs w:val="28"/>
          <w:lang w:eastAsia="zh-CN"/>
        </w:rPr>
        <w:t>甲类</w:t>
      </w:r>
      <w:r>
        <w:rPr>
          <w:rFonts w:hint="eastAsia" w:eastAsia="国标宋体" w:cs="Times New Roman"/>
          <w:color w:val="auto"/>
          <w:sz w:val="28"/>
          <w:szCs w:val="28"/>
          <w:lang w:val="en-US" w:eastAsia="zh-CN"/>
        </w:rPr>
        <w:t>B1级</w:t>
      </w:r>
      <w:r>
        <w:rPr>
          <w:rFonts w:hint="default" w:ascii="Times New Roman" w:hAnsi="Times New Roman" w:eastAsia="国标宋体" w:cs="Times New Roman"/>
          <w:color w:val="auto"/>
          <w:spacing w:val="5"/>
          <w:sz w:val="28"/>
          <w:szCs w:val="28"/>
        </w:rPr>
        <w:t>核准</w:t>
      </w:r>
      <w:r>
        <w:rPr>
          <w:rFonts w:hint="default" w:ascii="Times New Roman" w:hAnsi="Times New Roman" w:eastAsia="国标宋体" w:cs="Times New Roman"/>
          <w:color w:val="auto"/>
          <w:spacing w:val="3"/>
          <w:sz w:val="28"/>
          <w:szCs w:val="28"/>
        </w:rPr>
        <w:t>鉴</w:t>
      </w:r>
      <w:r>
        <w:rPr>
          <w:rFonts w:hint="default" w:ascii="Times New Roman" w:hAnsi="Times New Roman" w:eastAsia="国标宋体" w:cs="Times New Roman"/>
          <w:color w:val="auto"/>
          <w:spacing w:val="-5"/>
          <w:sz w:val="28"/>
          <w:szCs w:val="28"/>
        </w:rPr>
        <w:t>定</w:t>
      </w:r>
      <w:r>
        <w:rPr>
          <w:rFonts w:hint="default" w:ascii="Times New Roman" w:hAnsi="Times New Roman" w:eastAsia="国标宋体" w:cs="Times New Roman"/>
          <w:color w:val="auto"/>
          <w:spacing w:val="7"/>
          <w:sz w:val="28"/>
          <w:szCs w:val="28"/>
        </w:rPr>
        <w:t>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pacing w:val="5"/>
          <w:sz w:val="28"/>
          <w:szCs w:val="28"/>
        </w:rPr>
        <w:t>的</w:t>
      </w:r>
      <w:r>
        <w:rPr>
          <w:rFonts w:hint="default" w:ascii="Times New Roman" w:hAnsi="Times New Roman" w:eastAsia="国标宋体" w:cs="Times New Roman"/>
          <w:color w:val="auto"/>
          <w:spacing w:val="7"/>
          <w:sz w:val="28"/>
          <w:szCs w:val="28"/>
        </w:rPr>
        <w:t>指</w:t>
      </w:r>
      <w:r>
        <w:rPr>
          <w:rFonts w:hint="default" w:ascii="Times New Roman" w:hAnsi="Times New Roman" w:eastAsia="国标宋体" w:cs="Times New Roman"/>
          <w:color w:val="auto"/>
          <w:spacing w:val="5"/>
          <w:sz w:val="28"/>
          <w:szCs w:val="28"/>
        </w:rPr>
        <w:t>导</w:t>
      </w:r>
      <w:r>
        <w:rPr>
          <w:rFonts w:hint="default" w:ascii="Times New Roman" w:hAnsi="Times New Roman" w:eastAsia="国标宋体" w:cs="Times New Roman"/>
          <w:color w:val="auto"/>
          <w:spacing w:val="7"/>
          <w:sz w:val="28"/>
          <w:szCs w:val="28"/>
        </w:rPr>
        <w:t>性</w:t>
      </w:r>
      <w:r>
        <w:rPr>
          <w:rFonts w:hint="default" w:ascii="Times New Roman" w:hAnsi="Times New Roman" w:eastAsia="国标宋体" w:cs="Times New Roman"/>
          <w:color w:val="auto"/>
          <w:spacing w:val="5"/>
          <w:sz w:val="28"/>
          <w:szCs w:val="28"/>
        </w:rPr>
        <w:t>文</w:t>
      </w:r>
      <w:r>
        <w:rPr>
          <w:rFonts w:hint="default" w:ascii="Times New Roman" w:hAnsi="Times New Roman" w:eastAsia="国标宋体" w:cs="Times New Roman"/>
          <w:color w:val="auto"/>
          <w:spacing w:val="7"/>
          <w:sz w:val="28"/>
          <w:szCs w:val="28"/>
        </w:rPr>
        <w:t>件</w:t>
      </w:r>
      <w:r>
        <w:rPr>
          <w:rFonts w:hint="default" w:ascii="Times New Roman" w:hAnsi="Times New Roman" w:eastAsia="国标宋体" w:cs="Times New Roman"/>
          <w:color w:val="auto"/>
          <w:spacing w:val="5"/>
          <w:sz w:val="28"/>
          <w:szCs w:val="28"/>
        </w:rPr>
        <w:t>。仅用于统一本中心评审工作尺度、规范评审人员执业行为，供评审组及本中心工作人员内部使用。</w:t>
      </w:r>
      <w:r>
        <w:rPr>
          <w:rFonts w:hint="default" w:ascii="Times New Roman" w:hAnsi="Times New Roman" w:eastAsia="国标宋体" w:cs="Times New Roman"/>
          <w:color w:val="auto"/>
          <w:sz w:val="28"/>
          <w:szCs w:val="28"/>
        </w:rPr>
        <w:t>开展鉴定评审的法定依据为现行有效的特种设备法律、法规、规章及安全技术规范，本指南内容与上位法规定不一致的，一律适用上位法规定。</w:t>
      </w:r>
    </w:p>
    <w:p w14:paraId="7CFD0B03">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15" w:name="_Toc24076"/>
      <w:bookmarkStart w:id="16" w:name="_Toc1176598612"/>
      <w:bookmarkStart w:id="17" w:name="_Toc2093374690"/>
      <w:bookmarkStart w:id="18" w:name="_Toc976484173"/>
      <w:bookmarkStart w:id="19" w:name="_Toc14653"/>
      <w:r>
        <w:rPr>
          <w:rFonts w:hint="default" w:ascii="Times New Roman" w:hAnsi="Times New Roman" w:eastAsia="国标宋体" w:cs="Times New Roman"/>
          <w:color w:val="auto"/>
          <w:sz w:val="28"/>
          <w:szCs w:val="28"/>
          <w:lang w:eastAsia="zh-CN"/>
        </w:rPr>
        <w:t xml:space="preserve"> </w:t>
      </w:r>
      <w:bookmarkStart w:id="20" w:name="_Toc2146526545"/>
      <w:r>
        <w:rPr>
          <w:rFonts w:hint="default" w:ascii="Times New Roman" w:hAnsi="Times New Roman" w:eastAsia="国标宋体" w:cs="Times New Roman"/>
          <w:color w:val="auto"/>
          <w:sz w:val="28"/>
          <w:szCs w:val="28"/>
          <w:lang w:eastAsia="zh-CN"/>
        </w:rPr>
        <w:t>适用范围</w:t>
      </w:r>
      <w:bookmarkEnd w:id="15"/>
      <w:bookmarkEnd w:id="16"/>
      <w:bookmarkEnd w:id="17"/>
      <w:bookmarkEnd w:id="18"/>
      <w:bookmarkEnd w:id="19"/>
      <w:bookmarkEnd w:id="20"/>
    </w:p>
    <w:p w14:paraId="193700EA">
      <w:pPr>
        <w:autoSpaceDE w:val="0"/>
        <w:autoSpaceDN w:val="0"/>
        <w:snapToGrid w:val="0"/>
        <w:spacing w:line="360" w:lineRule="auto"/>
        <w:ind w:firstLine="588"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7"/>
          <w:sz w:val="28"/>
          <w:szCs w:val="28"/>
        </w:rPr>
        <w:t>本</w:t>
      </w:r>
      <w:r>
        <w:rPr>
          <w:rFonts w:hint="default" w:ascii="Times New Roman" w:hAnsi="Times New Roman" w:eastAsia="国标宋体" w:cs="Times New Roman"/>
          <w:color w:val="auto"/>
          <w:spacing w:val="5"/>
          <w:sz w:val="28"/>
          <w:szCs w:val="28"/>
        </w:rPr>
        <w:t>指</w:t>
      </w:r>
      <w:r>
        <w:rPr>
          <w:rFonts w:hint="default" w:ascii="Times New Roman" w:hAnsi="Times New Roman" w:eastAsia="国标宋体" w:cs="Times New Roman"/>
          <w:color w:val="auto"/>
          <w:spacing w:val="7"/>
          <w:sz w:val="28"/>
          <w:szCs w:val="28"/>
        </w:rPr>
        <w:t>南</w:t>
      </w:r>
      <w:r>
        <w:rPr>
          <w:rFonts w:hint="default" w:ascii="Times New Roman" w:hAnsi="Times New Roman" w:eastAsia="国标宋体" w:cs="Times New Roman"/>
          <w:color w:val="auto"/>
          <w:spacing w:val="5"/>
          <w:sz w:val="28"/>
          <w:szCs w:val="28"/>
        </w:rPr>
        <w:t>仅</w:t>
      </w:r>
      <w:r>
        <w:rPr>
          <w:rFonts w:hint="default" w:ascii="Times New Roman" w:hAnsi="Times New Roman" w:eastAsia="国标宋体" w:cs="Times New Roman"/>
          <w:color w:val="auto"/>
          <w:spacing w:val="7"/>
          <w:sz w:val="28"/>
          <w:szCs w:val="28"/>
        </w:rPr>
        <w:t>适</w:t>
      </w:r>
      <w:r>
        <w:rPr>
          <w:rFonts w:hint="default" w:ascii="Times New Roman" w:hAnsi="Times New Roman" w:eastAsia="国标宋体" w:cs="Times New Roman"/>
          <w:color w:val="auto"/>
          <w:spacing w:val="5"/>
          <w:sz w:val="28"/>
          <w:szCs w:val="28"/>
        </w:rPr>
        <w:t>用</w:t>
      </w:r>
      <w:r>
        <w:rPr>
          <w:rFonts w:hint="default" w:ascii="Times New Roman" w:hAnsi="Times New Roman" w:eastAsia="国标宋体" w:cs="Times New Roman"/>
          <w:color w:val="auto"/>
          <w:spacing w:val="7"/>
          <w:sz w:val="28"/>
          <w:szCs w:val="28"/>
        </w:rPr>
        <w:t>于</w:t>
      </w:r>
      <w:r>
        <w:rPr>
          <w:rFonts w:hint="default" w:ascii="Times New Roman" w:hAnsi="Times New Roman" w:eastAsia="国标宋体" w:cs="Times New Roman"/>
          <w:color w:val="auto"/>
          <w:spacing w:val="7"/>
          <w:sz w:val="28"/>
          <w:szCs w:val="28"/>
          <w:lang w:eastAsia="zh-CN"/>
        </w:rPr>
        <w:t>四川省质量技术审评中心</w:t>
      </w:r>
      <w:r>
        <w:rPr>
          <w:rFonts w:hint="default" w:ascii="Times New Roman" w:hAnsi="Times New Roman" w:eastAsia="国标宋体" w:cs="Times New Roman"/>
          <w:color w:val="auto"/>
          <w:spacing w:val="7"/>
          <w:sz w:val="28"/>
          <w:szCs w:val="28"/>
        </w:rPr>
        <w:t>（以下简称“</w:t>
      </w:r>
      <w:r>
        <w:rPr>
          <w:rFonts w:hint="default" w:ascii="Times New Roman" w:hAnsi="Times New Roman" w:eastAsia="国标宋体" w:cs="Times New Roman"/>
          <w:color w:val="auto"/>
          <w:spacing w:val="7"/>
          <w:sz w:val="28"/>
          <w:szCs w:val="28"/>
          <w:lang w:eastAsia="zh-CN"/>
        </w:rPr>
        <w:t>省质量审评中心</w:t>
      </w:r>
      <w:r>
        <w:rPr>
          <w:rFonts w:hint="default" w:ascii="Times New Roman" w:hAnsi="Times New Roman" w:eastAsia="国标宋体" w:cs="Times New Roman"/>
          <w:color w:val="auto"/>
          <w:spacing w:val="7"/>
          <w:sz w:val="28"/>
          <w:szCs w:val="28"/>
        </w:rPr>
        <w:t>”）承担的</w:t>
      </w:r>
      <w:r>
        <w:rPr>
          <w:rFonts w:hint="default" w:ascii="Times New Roman" w:hAnsi="Times New Roman" w:eastAsia="国标宋体" w:cs="Times New Roman"/>
          <w:color w:val="auto"/>
          <w:spacing w:val="5"/>
          <w:sz w:val="28"/>
          <w:szCs w:val="28"/>
        </w:rPr>
        <w:t>四川省特种设备</w:t>
      </w:r>
      <w:r>
        <w:rPr>
          <w:rFonts w:hint="default" w:ascii="Times New Roman" w:hAnsi="Times New Roman" w:eastAsia="国标宋体" w:cs="Times New Roman"/>
          <w:color w:val="auto"/>
          <w:spacing w:val="7"/>
          <w:sz w:val="28"/>
          <w:szCs w:val="28"/>
        </w:rPr>
        <w:t>检验</w:t>
      </w:r>
      <w:r>
        <w:rPr>
          <w:rFonts w:hint="default" w:ascii="Times New Roman" w:hAnsi="Times New Roman" w:eastAsia="国标宋体" w:cs="Times New Roman"/>
          <w:color w:val="auto"/>
          <w:spacing w:val="5"/>
          <w:sz w:val="28"/>
          <w:szCs w:val="28"/>
        </w:rPr>
        <w:t>机</w:t>
      </w:r>
      <w:r>
        <w:rPr>
          <w:rFonts w:hint="default" w:ascii="Times New Roman" w:hAnsi="Times New Roman" w:eastAsia="国标宋体" w:cs="Times New Roman"/>
          <w:color w:val="auto"/>
          <w:spacing w:val="7"/>
          <w:sz w:val="28"/>
          <w:szCs w:val="28"/>
        </w:rPr>
        <w:t>构核准甲类B1级（除总局负责核准外）</w:t>
      </w:r>
      <w:r>
        <w:rPr>
          <w:rFonts w:hint="default" w:ascii="Times New Roman" w:hAnsi="Times New Roman" w:eastAsia="国标宋体" w:cs="Times New Roman"/>
          <w:color w:val="auto"/>
          <w:spacing w:val="7"/>
          <w:sz w:val="28"/>
          <w:szCs w:val="28"/>
          <w:lang w:eastAsia="zh-CN"/>
        </w:rPr>
        <w:t>项目</w:t>
      </w:r>
      <w:r>
        <w:rPr>
          <w:rFonts w:hint="default" w:ascii="Times New Roman" w:hAnsi="Times New Roman" w:eastAsia="国标宋体" w:cs="Times New Roman"/>
          <w:color w:val="auto"/>
          <w:sz w:val="28"/>
          <w:szCs w:val="28"/>
        </w:rPr>
        <w:t>的鉴定评审</w:t>
      </w:r>
      <w:r>
        <w:rPr>
          <w:rFonts w:hint="default" w:ascii="Times New Roman" w:hAnsi="Times New Roman" w:eastAsia="国标宋体" w:cs="Times New Roman"/>
          <w:color w:val="auto"/>
          <w:spacing w:val="5"/>
          <w:sz w:val="28"/>
          <w:szCs w:val="28"/>
        </w:rPr>
        <w:t>工</w:t>
      </w:r>
      <w:r>
        <w:rPr>
          <w:rFonts w:hint="default" w:ascii="Times New Roman" w:hAnsi="Times New Roman" w:eastAsia="国标宋体" w:cs="Times New Roman"/>
          <w:color w:val="auto"/>
          <w:spacing w:val="7"/>
          <w:sz w:val="28"/>
          <w:szCs w:val="28"/>
        </w:rPr>
        <w:t>作</w:t>
      </w:r>
      <w:r>
        <w:rPr>
          <w:rFonts w:hint="default" w:ascii="Times New Roman" w:hAnsi="Times New Roman" w:eastAsia="国标宋体" w:cs="Times New Roman"/>
          <w:color w:val="auto"/>
          <w:sz w:val="28"/>
          <w:szCs w:val="28"/>
        </w:rPr>
        <w:t>。</w:t>
      </w:r>
    </w:p>
    <w:p w14:paraId="3C5BE644">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21" w:name="_Toc3752"/>
      <w:bookmarkStart w:id="22" w:name="_Toc29792"/>
      <w:bookmarkStart w:id="23" w:name="_Toc2084298337"/>
      <w:bookmarkStart w:id="24" w:name="_Toc377"/>
      <w:bookmarkStart w:id="25" w:name="_Toc1568819665"/>
      <w:bookmarkStart w:id="26" w:name="_Toc22088"/>
      <w:bookmarkStart w:id="27" w:name="_Toc385805119"/>
      <w:bookmarkStart w:id="28" w:name="_Toc15249"/>
      <w:r>
        <w:rPr>
          <w:rFonts w:hint="default" w:ascii="Times New Roman" w:hAnsi="Times New Roman" w:eastAsia="国标宋体" w:cs="Times New Roman"/>
          <w:color w:val="auto"/>
          <w:sz w:val="28"/>
          <w:szCs w:val="28"/>
          <w:lang w:eastAsia="zh-CN"/>
        </w:rPr>
        <w:t xml:space="preserve"> </w:t>
      </w:r>
      <w:bookmarkStart w:id="29" w:name="_Toc1319773816"/>
      <w:r>
        <w:rPr>
          <w:rFonts w:hint="default" w:ascii="Times New Roman" w:hAnsi="Times New Roman" w:eastAsia="国标宋体" w:cs="Times New Roman"/>
          <w:color w:val="auto"/>
          <w:sz w:val="28"/>
          <w:szCs w:val="28"/>
          <w:lang w:eastAsia="zh-CN"/>
        </w:rPr>
        <w:t>引用</w:t>
      </w:r>
      <w:r>
        <w:rPr>
          <w:rFonts w:hint="default" w:ascii="Times New Roman" w:hAnsi="Times New Roman" w:eastAsia="国标宋体" w:cs="Times New Roman"/>
          <w:color w:val="auto"/>
          <w:sz w:val="28"/>
          <w:szCs w:val="28"/>
        </w:rPr>
        <w:t>文件</w:t>
      </w:r>
      <w:bookmarkEnd w:id="21"/>
      <w:bookmarkEnd w:id="22"/>
      <w:bookmarkEnd w:id="23"/>
      <w:bookmarkEnd w:id="24"/>
      <w:bookmarkEnd w:id="25"/>
      <w:bookmarkEnd w:id="26"/>
      <w:bookmarkEnd w:id="27"/>
      <w:bookmarkEnd w:id="28"/>
      <w:bookmarkEnd w:id="29"/>
    </w:p>
    <w:p w14:paraId="153C11B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《中华人民共和国特种设备安全法》</w:t>
      </w:r>
    </w:p>
    <w:p w14:paraId="3F0E238F">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《中华人民共和国行政许可法</w:t>
      </w:r>
      <w:r>
        <w:rPr>
          <w:rFonts w:hint="default" w:ascii="Times New Roman" w:hAnsi="Times New Roman" w:eastAsia="国标宋体" w:cs="Times New Roman"/>
          <w:color w:val="auto"/>
          <w:spacing w:val="2"/>
          <w:sz w:val="28"/>
          <w:szCs w:val="28"/>
          <w:lang w:eastAsia="zh-CN"/>
        </w:rPr>
        <w:t>》</w:t>
      </w:r>
    </w:p>
    <w:p w14:paraId="585CAB35">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《特种设备安全监察条例》</w:t>
      </w:r>
    </w:p>
    <w:p w14:paraId="365E842E">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Z7001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2021《特种设备检验机构核准规则》（含第1号修改单）</w:t>
      </w:r>
    </w:p>
    <w:p w14:paraId="7A12374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市场监管总局办公厅《关于特种设备检验机构核准有关事项的通知》（市监特设发〔2022〕13号）</w:t>
      </w:r>
    </w:p>
    <w:p w14:paraId="50379A62">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市场监管总局办公厅《关于特种设备检验人员考核等有关事项的通知》（市监特设发〔2022〕93号）</w:t>
      </w:r>
    </w:p>
    <w:p w14:paraId="11D4FB2B">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Z8002</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2022《特种设备检验人员考核规则》（</w:t>
      </w:r>
      <w:r>
        <w:rPr>
          <w:rFonts w:hint="default" w:ascii="Times New Roman" w:hAnsi="Times New Roman" w:eastAsia="国标宋体" w:cs="Times New Roman"/>
          <w:color w:val="auto"/>
          <w:spacing w:val="2"/>
          <w:sz w:val="28"/>
          <w:szCs w:val="28"/>
          <w:lang w:val="en-US" w:eastAsia="zh-CN"/>
        </w:rPr>
        <w:t>含</w:t>
      </w:r>
      <w:r>
        <w:rPr>
          <w:rFonts w:hint="default" w:ascii="Times New Roman" w:hAnsi="Times New Roman" w:eastAsia="国标宋体" w:cs="Times New Roman"/>
          <w:color w:val="auto"/>
          <w:spacing w:val="2"/>
          <w:sz w:val="28"/>
          <w:szCs w:val="28"/>
        </w:rPr>
        <w:t>第1号、第2号修改单）</w:t>
      </w:r>
    </w:p>
    <w:p w14:paraId="75C8B004">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Z8001</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2019《特种设备无损检测人员考核规则》（</w:t>
      </w:r>
      <w:r>
        <w:rPr>
          <w:rFonts w:hint="default" w:ascii="Times New Roman" w:hAnsi="Times New Roman" w:eastAsia="国标宋体" w:cs="Times New Roman"/>
          <w:color w:val="auto"/>
          <w:spacing w:val="2"/>
          <w:sz w:val="28"/>
          <w:szCs w:val="28"/>
          <w:lang w:val="en-US" w:eastAsia="zh-CN"/>
        </w:rPr>
        <w:t>含</w:t>
      </w:r>
      <w:r>
        <w:rPr>
          <w:rFonts w:hint="default" w:ascii="Times New Roman" w:hAnsi="Times New Roman" w:eastAsia="国标宋体" w:cs="Times New Roman"/>
          <w:color w:val="auto"/>
          <w:spacing w:val="2"/>
          <w:sz w:val="28"/>
          <w:szCs w:val="28"/>
        </w:rPr>
        <w:t>第1号修改单）</w:t>
      </w:r>
    </w:p>
    <w:p w14:paraId="6569490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val="en-US" w:eastAsia="zh-CN"/>
        </w:rPr>
        <w:t>GB/T 12135</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lang w:val="en-US" w:eastAsia="zh-CN"/>
        </w:rPr>
        <w:t>2025《气瓶检验机构技术条件》</w:t>
      </w:r>
    </w:p>
    <w:p w14:paraId="43113719">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TSG 08</w:t>
      </w:r>
      <w:r>
        <w:rPr>
          <w:rFonts w:hint="eastAsia"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 xml:space="preserve">2026《特种设备使用管理规则》 </w:t>
      </w:r>
    </w:p>
    <w:p w14:paraId="772C4B7C">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eastAsia" w:ascii="Times New Roman" w:hAnsi="Times New Roman" w:eastAsia="国标宋体" w:cs="Times New Roman"/>
          <w:color w:val="auto"/>
          <w:spacing w:val="2"/>
          <w:sz w:val="28"/>
          <w:szCs w:val="28"/>
          <w:lang w:eastAsia="zh-CN"/>
        </w:rPr>
        <w:t>《特种设备使用单位落实使用安全主体责任监督管理规定》（国家市场监督管理总局 第 74 号令）</w:t>
      </w:r>
    </w:p>
    <w:p w14:paraId="6E781C97">
      <w:pPr>
        <w:numPr>
          <w:ilvl w:val="1"/>
          <w:numId w:val="2"/>
        </w:numPr>
        <w:snapToGrid w:val="0"/>
        <w:spacing w:line="360" w:lineRule="auto"/>
        <w:ind w:firstLine="568" w:firstLineChars="200"/>
        <w:jc w:val="left"/>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其他有关特种设备安全技术规范</w:t>
      </w:r>
      <w:r>
        <w:rPr>
          <w:rFonts w:hint="default" w:ascii="Times New Roman" w:hAnsi="Times New Roman" w:eastAsia="国标宋体" w:cs="Times New Roman"/>
          <w:color w:val="auto"/>
          <w:spacing w:val="2"/>
          <w:sz w:val="28"/>
          <w:szCs w:val="28"/>
          <w:lang w:val="en-US" w:eastAsia="zh-CN"/>
        </w:rPr>
        <w:t>和标准</w:t>
      </w:r>
    </w:p>
    <w:p w14:paraId="09BAF785">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0" w:name="_Toc31695"/>
      <w:bookmarkStart w:id="31" w:name="_Toc1200"/>
      <w:bookmarkStart w:id="32" w:name="_Toc1065720477"/>
      <w:bookmarkStart w:id="33" w:name="_Toc3077"/>
      <w:bookmarkStart w:id="34" w:name="_Toc276705532"/>
      <w:bookmarkStart w:id="35" w:name="_Toc1633604111"/>
      <w:bookmarkStart w:id="36" w:name="_Toc8243"/>
      <w:bookmarkStart w:id="37" w:name="_Toc8342"/>
      <w:r>
        <w:rPr>
          <w:rFonts w:hint="default" w:ascii="Times New Roman" w:hAnsi="Times New Roman" w:eastAsia="国标宋体" w:cs="Times New Roman"/>
          <w:color w:val="auto"/>
          <w:sz w:val="28"/>
          <w:szCs w:val="28"/>
          <w:lang w:eastAsia="zh-CN"/>
        </w:rPr>
        <w:t xml:space="preserve"> </w:t>
      </w:r>
      <w:bookmarkStart w:id="38" w:name="_Toc24999933"/>
      <w:r>
        <w:rPr>
          <w:rFonts w:hint="default" w:ascii="Times New Roman" w:hAnsi="Times New Roman" w:eastAsia="国标宋体" w:cs="Times New Roman"/>
          <w:color w:val="auto"/>
          <w:sz w:val="28"/>
          <w:szCs w:val="28"/>
          <w:lang w:eastAsia="zh-CN"/>
        </w:rPr>
        <w:t>术语</w:t>
      </w:r>
      <w:bookmarkEnd w:id="30"/>
      <w:bookmarkEnd w:id="31"/>
      <w:bookmarkEnd w:id="32"/>
      <w:bookmarkEnd w:id="33"/>
      <w:bookmarkEnd w:id="34"/>
      <w:bookmarkEnd w:id="35"/>
      <w:bookmarkEnd w:id="36"/>
      <w:bookmarkEnd w:id="37"/>
      <w:bookmarkEnd w:id="38"/>
    </w:p>
    <w:p w14:paraId="73A9026C">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本指南采用 </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z w:val="28"/>
          <w:szCs w:val="28"/>
        </w:rPr>
        <w:t>中的术语，以及以下术语。</w:t>
      </w:r>
    </w:p>
    <w:p w14:paraId="6950D15D">
      <w:pPr>
        <w:numPr>
          <w:ilvl w:val="1"/>
          <w:numId w:val="3"/>
        </w:numPr>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default" w:ascii="Times New Roman" w:hAnsi="Times New Roman" w:eastAsia="国标宋体" w:cs="Times New Roman"/>
          <w:color w:val="auto"/>
          <w:sz w:val="28"/>
          <w:szCs w:val="28"/>
          <w:lang w:eastAsia="zh-CN"/>
        </w:rPr>
        <w:t xml:space="preserve"> 固定资产</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固定资产是指使用期限超过一年，单位价值在1000元以上，并在使用过程中基本保持原有物质形态的资产</w:t>
      </w:r>
      <w:r>
        <w:rPr>
          <w:rFonts w:hint="default" w:ascii="Times New Roman" w:hAnsi="Times New Roman" w:eastAsia="国标宋体" w:cs="Times New Roman"/>
          <w:color w:val="auto"/>
          <w:sz w:val="28"/>
          <w:szCs w:val="28"/>
        </w:rPr>
        <w:t>。</w:t>
      </w:r>
    </w:p>
    <w:p w14:paraId="22E77842">
      <w:pPr>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r>
        <w:rPr>
          <w:rFonts w:hint="eastAsia" w:ascii="Times New Roman" w:hAnsi="Times New Roman" w:eastAsia="国标宋体" w:cs="Times New Roman"/>
          <w:color w:val="auto"/>
          <w:sz w:val="28"/>
          <w:szCs w:val="28"/>
          <w:lang w:eastAsia="zh-CN"/>
        </w:rPr>
        <w:t xml:space="preserve"> 固定资产</w:t>
      </w:r>
      <w:r>
        <w:rPr>
          <w:rFonts w:hint="default" w:ascii="Times New Roman" w:hAnsi="Times New Roman" w:eastAsia="国标宋体" w:cs="Times New Roman"/>
          <w:color w:val="auto"/>
          <w:sz w:val="28"/>
          <w:szCs w:val="28"/>
        </w:rPr>
        <w:t>总值（原值</w:t>
      </w:r>
      <w:r>
        <w:rPr>
          <w:rFonts w:hint="default" w:ascii="Times New Roman" w:hAnsi="Times New Roman" w:eastAsia="国标宋体" w:cs="Times New Roman"/>
          <w:color w:val="auto"/>
          <w:spacing w:val="-52"/>
          <w:sz w:val="28"/>
          <w:szCs w:val="28"/>
        </w:rPr>
        <w:t>）</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7"/>
          <w:sz w:val="28"/>
          <w:szCs w:val="28"/>
        </w:rPr>
        <w:t>指</w:t>
      </w:r>
      <w:r>
        <w:rPr>
          <w:rFonts w:hint="default" w:ascii="Times New Roman" w:hAnsi="Times New Roman" w:eastAsia="国标宋体" w:cs="Times New Roman"/>
          <w:color w:val="auto"/>
          <w:sz w:val="28"/>
          <w:szCs w:val="28"/>
        </w:rPr>
        <w:t>4.</w:t>
      </w:r>
      <w:r>
        <w:rPr>
          <w:rFonts w:hint="default" w:ascii="Times New Roman" w:hAnsi="Times New Roman" w:eastAsia="国标宋体" w:cs="Times New Roman"/>
          <w:color w:val="auto"/>
          <w:spacing w:val="51"/>
          <w:sz w:val="28"/>
          <w:szCs w:val="28"/>
          <w:lang w:val="en-US" w:eastAsia="zh-CN"/>
        </w:rPr>
        <w:t>1</w:t>
      </w:r>
      <w:r>
        <w:rPr>
          <w:rFonts w:hint="default" w:ascii="Times New Roman" w:hAnsi="Times New Roman" w:eastAsia="国标宋体" w:cs="Times New Roman"/>
          <w:color w:val="auto"/>
          <w:sz w:val="28"/>
          <w:szCs w:val="28"/>
        </w:rPr>
        <w:t>所述固定资产原值的总和（不含租用），</w:t>
      </w:r>
      <w:r>
        <w:rPr>
          <w:rFonts w:hint="eastAsia" w:eastAsia="国标宋体" w:cs="Times New Roman"/>
          <w:color w:val="auto"/>
          <w:sz w:val="28"/>
          <w:szCs w:val="28"/>
          <w:lang w:eastAsia="zh-CN"/>
        </w:rPr>
        <w:t>将查验</w:t>
      </w:r>
      <w:r>
        <w:rPr>
          <w:rFonts w:hint="default" w:ascii="Times New Roman" w:hAnsi="Times New Roman" w:eastAsia="国标宋体" w:cs="Times New Roman"/>
          <w:color w:val="auto"/>
          <w:sz w:val="28"/>
          <w:szCs w:val="28"/>
        </w:rPr>
        <w:t>发票和台账</w:t>
      </w:r>
      <w:r>
        <w:rPr>
          <w:rFonts w:hint="default" w:ascii="Times New Roman" w:hAnsi="Times New Roman" w:eastAsia="国标宋体" w:cs="Times New Roman"/>
          <w:color w:val="auto"/>
          <w:sz w:val="28"/>
          <w:szCs w:val="28"/>
          <w:lang w:eastAsia="zh-CN"/>
        </w:rPr>
        <w:t>、第</w:t>
      </w:r>
      <w:r>
        <w:rPr>
          <w:rFonts w:hint="default" w:ascii="Times New Roman" w:hAnsi="Times New Roman" w:eastAsia="国标宋体" w:cs="Times New Roman"/>
          <w:color w:val="auto"/>
          <w:sz w:val="28"/>
          <w:szCs w:val="28"/>
        </w:rPr>
        <w:t>三方单位审计报告</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highlight w:val="none"/>
          <w:lang w:val="en-US" w:eastAsia="zh-CN"/>
        </w:rPr>
        <w:t>属地机关事务管理资产平台资产卡片</w:t>
      </w:r>
      <w:r>
        <w:rPr>
          <w:rFonts w:hint="default" w:ascii="Times New Roman" w:hAnsi="Times New Roman" w:eastAsia="国标宋体" w:cs="Times New Roman"/>
          <w:color w:val="auto"/>
          <w:sz w:val="28"/>
          <w:szCs w:val="28"/>
        </w:rPr>
        <w:t>。</w:t>
      </w:r>
    </w:p>
    <w:p w14:paraId="3251B990">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全职持证人员：</w:t>
      </w:r>
      <w:r>
        <w:rPr>
          <w:rFonts w:hint="default" w:ascii="Times New Roman" w:hAnsi="Times New Roman" w:eastAsia="国标宋体" w:cs="Times New Roman"/>
          <w:color w:val="auto"/>
          <w:kern w:val="0"/>
          <w:sz w:val="28"/>
          <w:szCs w:val="28"/>
          <w:lang w:val="en-US" w:eastAsia="zh-CN" w:bidi="ar"/>
        </w:rPr>
        <w:t>指</w:t>
      </w:r>
      <w:r>
        <w:rPr>
          <w:rFonts w:hint="default" w:ascii="Times New Roman" w:hAnsi="Times New Roman" w:eastAsia="国标宋体" w:cs="Times New Roman"/>
          <w:color w:val="auto"/>
          <w:spacing w:val="2"/>
          <w:sz w:val="28"/>
          <w:szCs w:val="28"/>
        </w:rPr>
        <w:t>持有特种设备检验检测</w:t>
      </w:r>
      <w:r>
        <w:rPr>
          <w:rFonts w:hint="default" w:ascii="Times New Roman" w:hAnsi="Times New Roman" w:eastAsia="国标宋体" w:cs="Times New Roman"/>
          <w:color w:val="auto"/>
          <w:spacing w:val="2"/>
          <w:sz w:val="28"/>
          <w:szCs w:val="28"/>
          <w:lang w:val="en-US" w:eastAsia="zh-CN"/>
        </w:rPr>
        <w:t>相应项目、级别</w:t>
      </w:r>
      <w:r>
        <w:rPr>
          <w:rFonts w:hint="default" w:ascii="Times New Roman" w:hAnsi="Times New Roman" w:eastAsia="国标宋体" w:cs="Times New Roman"/>
          <w:color w:val="auto"/>
          <w:spacing w:val="2"/>
          <w:sz w:val="28"/>
          <w:szCs w:val="28"/>
        </w:rPr>
        <w:t>人员资格证</w:t>
      </w:r>
      <w:r>
        <w:rPr>
          <w:rFonts w:hint="default" w:ascii="Times New Roman" w:hAnsi="Times New Roman" w:eastAsia="国标宋体" w:cs="Times New Roman"/>
          <w:color w:val="auto"/>
          <w:spacing w:val="2"/>
          <w:sz w:val="28"/>
          <w:szCs w:val="28"/>
          <w:lang w:eastAsia="zh-CN"/>
        </w:rPr>
        <w:t>，且</w:t>
      </w:r>
      <w:r>
        <w:rPr>
          <w:rFonts w:hint="default" w:ascii="Times New Roman" w:hAnsi="Times New Roman" w:eastAsia="国标宋体" w:cs="Times New Roman"/>
          <w:color w:val="auto"/>
          <w:kern w:val="0"/>
          <w:sz w:val="28"/>
          <w:szCs w:val="28"/>
          <w:lang w:val="en-US" w:eastAsia="zh-CN" w:bidi="ar"/>
        </w:rPr>
        <w:t>与检验机构建立合法的劳动关系，并由检验机构出资缴纳唯一基本养老保险，在检验机构有明确的工作岗位和办公地点，履行岗位职责并有可追溯工作见证的人员</w:t>
      </w:r>
      <w:r>
        <w:rPr>
          <w:rFonts w:hint="default" w:ascii="Times New Roman" w:hAnsi="Times New Roman" w:eastAsia="国标宋体" w:cs="Times New Roman"/>
          <w:color w:val="auto"/>
          <w:spacing w:val="0"/>
          <w:sz w:val="28"/>
          <w:szCs w:val="28"/>
          <w:lang w:val="en-US" w:eastAsia="zh-CN"/>
        </w:rPr>
        <w:t>，</w:t>
      </w:r>
      <w:r>
        <w:rPr>
          <w:rFonts w:hint="default" w:ascii="Times New Roman" w:hAnsi="Times New Roman" w:eastAsia="国标宋体" w:cs="Times New Roman"/>
          <w:color w:val="auto"/>
          <w:sz w:val="28"/>
          <w:szCs w:val="28"/>
        </w:rPr>
        <w:t>其资格证书在有效期内并已在“全国特种设备检验与检测人员</w:t>
      </w:r>
      <w:r>
        <w:rPr>
          <w:rFonts w:hint="default" w:ascii="Times New Roman" w:hAnsi="Times New Roman" w:eastAsia="国标宋体" w:cs="Times New Roman"/>
          <w:color w:val="auto"/>
          <w:sz w:val="28"/>
          <w:szCs w:val="28"/>
          <w:lang w:eastAsia="zh-CN"/>
        </w:rPr>
        <w:t>执业公示</w:t>
      </w:r>
      <w:r>
        <w:rPr>
          <w:rFonts w:hint="default" w:ascii="Times New Roman" w:hAnsi="Times New Roman" w:eastAsia="国标宋体" w:cs="Times New Roman"/>
          <w:color w:val="auto"/>
          <w:sz w:val="28"/>
          <w:szCs w:val="28"/>
        </w:rPr>
        <w:t>与查询系统”办理执业公示</w:t>
      </w:r>
      <w:r>
        <w:rPr>
          <w:rFonts w:hint="default" w:ascii="Times New Roman" w:hAnsi="Times New Roman" w:eastAsia="国标宋体" w:cs="Times New Roman"/>
          <w:color w:val="auto"/>
          <w:spacing w:val="0"/>
          <w:sz w:val="28"/>
          <w:szCs w:val="28"/>
        </w:rPr>
        <w:t>的人员</w:t>
      </w:r>
      <w:r>
        <w:rPr>
          <w:rFonts w:hint="default" w:ascii="Times New Roman" w:hAnsi="Times New Roman" w:eastAsia="国标宋体" w:cs="Times New Roman"/>
          <w:color w:val="auto"/>
          <w:spacing w:val="0"/>
          <w:sz w:val="28"/>
          <w:szCs w:val="28"/>
          <w:vertAlign w:val="superscript"/>
          <w:lang w:eastAsia="zh-CN"/>
        </w:rPr>
        <w:t>注</w:t>
      </w:r>
      <w:r>
        <w:rPr>
          <w:rStyle w:val="19"/>
          <w:rFonts w:hint="default" w:ascii="Times New Roman" w:hAnsi="Times New Roman" w:eastAsia="国标宋体" w:cs="Times New Roman"/>
          <w:color w:val="auto"/>
          <w:spacing w:val="0"/>
          <w:sz w:val="28"/>
          <w:szCs w:val="28"/>
        </w:rPr>
        <w:footnoteReference w:id="0"/>
      </w:r>
      <w:r>
        <w:rPr>
          <w:rFonts w:hint="default" w:ascii="Times New Roman" w:hAnsi="Times New Roman" w:eastAsia="国标宋体" w:cs="Times New Roman"/>
          <w:color w:val="auto"/>
          <w:spacing w:val="0"/>
          <w:sz w:val="28"/>
          <w:szCs w:val="28"/>
        </w:rPr>
        <w:t>。</w:t>
      </w:r>
    </w:p>
    <w:p w14:paraId="60E724A5">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设备资产总值（原值）：指</w:t>
      </w:r>
      <w:r>
        <w:rPr>
          <w:rFonts w:hint="default" w:ascii="Times New Roman" w:hAnsi="Times New Roman" w:eastAsia="国标宋体" w:cs="Times New Roman"/>
          <w:color w:val="auto"/>
          <w:sz w:val="28"/>
          <w:szCs w:val="28"/>
          <w:lang w:val="en-US" w:eastAsia="zh-CN"/>
        </w:rPr>
        <w:t>检验、检测</w:t>
      </w:r>
      <w:r>
        <w:rPr>
          <w:rFonts w:hint="default" w:ascii="Times New Roman" w:hAnsi="Times New Roman" w:eastAsia="国标宋体" w:cs="Times New Roman"/>
          <w:color w:val="auto"/>
          <w:sz w:val="28"/>
          <w:szCs w:val="28"/>
        </w:rPr>
        <w:t>仪器、设备以及计算机、办公系统（包括办公自动化设备、软件）的资产总原值。车辆以及报废的仪器设备和办公设备不</w:t>
      </w:r>
      <w:r>
        <w:rPr>
          <w:rFonts w:hint="default" w:ascii="Times New Roman" w:hAnsi="Times New Roman" w:eastAsia="国标宋体" w:cs="Times New Roman"/>
          <w:color w:val="auto"/>
          <w:sz w:val="28"/>
          <w:szCs w:val="28"/>
          <w:lang w:eastAsia="zh-CN"/>
        </w:rPr>
        <w:t>计入</w:t>
      </w:r>
      <w:r>
        <w:rPr>
          <w:rFonts w:hint="default" w:ascii="Times New Roman" w:hAnsi="Times New Roman" w:eastAsia="国标宋体" w:cs="Times New Roman"/>
          <w:color w:val="auto"/>
          <w:sz w:val="28"/>
          <w:szCs w:val="28"/>
        </w:rPr>
        <w:t>，但</w:t>
      </w:r>
      <w:r>
        <w:rPr>
          <w:rFonts w:hint="default" w:ascii="Times New Roman" w:hAnsi="Times New Roman" w:eastAsia="国标宋体" w:cs="Times New Roman"/>
          <w:color w:val="auto"/>
          <w:sz w:val="28"/>
          <w:szCs w:val="28"/>
          <w:lang w:val="en-US" w:eastAsia="zh-CN"/>
        </w:rPr>
        <w:t>检验</w:t>
      </w:r>
      <w:r>
        <w:rPr>
          <w:rFonts w:hint="default" w:ascii="Times New Roman" w:hAnsi="Times New Roman" w:eastAsia="国标宋体" w:cs="Times New Roman"/>
          <w:color w:val="auto"/>
          <w:sz w:val="28"/>
          <w:szCs w:val="28"/>
        </w:rPr>
        <w:t>专用车（指具有</w:t>
      </w:r>
      <w:r>
        <w:rPr>
          <w:rFonts w:hint="default" w:ascii="Times New Roman" w:hAnsi="Times New Roman" w:eastAsia="国标宋体" w:cs="Times New Roman"/>
          <w:color w:val="auto"/>
          <w:sz w:val="28"/>
          <w:szCs w:val="28"/>
          <w:lang w:eastAsia="zh-CN"/>
        </w:rPr>
        <w:t>检验</w:t>
      </w:r>
      <w:r>
        <w:rPr>
          <w:rFonts w:hint="default" w:ascii="Times New Roman" w:hAnsi="Times New Roman" w:eastAsia="国标宋体" w:cs="Times New Roman"/>
          <w:color w:val="auto"/>
          <w:sz w:val="28"/>
          <w:szCs w:val="28"/>
        </w:rPr>
        <w:t>功能）计入。</w:t>
      </w:r>
    </w:p>
    <w:p w14:paraId="3ABE745C">
      <w:pPr>
        <w:widowControl/>
        <w:numPr>
          <w:ilvl w:val="1"/>
          <w:numId w:val="3"/>
        </w:numPr>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关键岗位人员：是指技术负责人、质量负责人、责任师</w:t>
      </w:r>
      <w:r>
        <w:rPr>
          <w:rFonts w:hint="default" w:ascii="Times New Roman" w:hAnsi="Times New Roman" w:eastAsia="国标宋体" w:cs="Times New Roman"/>
          <w:color w:val="auto"/>
          <w:sz w:val="28"/>
          <w:szCs w:val="28"/>
          <w:lang w:eastAsia="zh-CN"/>
        </w:rPr>
        <w:t>（技术负责人可以兼任质量负责人，但是技术负责人、质量负责人不得兼任责任师）</w:t>
      </w:r>
      <w:r>
        <w:rPr>
          <w:rFonts w:hint="default" w:ascii="Times New Roman" w:hAnsi="Times New Roman" w:eastAsia="国标宋体" w:cs="Times New Roman"/>
          <w:color w:val="auto"/>
          <w:sz w:val="28"/>
          <w:szCs w:val="28"/>
        </w:rPr>
        <w:t>。</w:t>
      </w:r>
    </w:p>
    <w:p w14:paraId="2AB0F3B6">
      <w:pPr>
        <w:pStyle w:val="2"/>
        <w:numPr>
          <w:ilvl w:val="0"/>
          <w:numId w:val="1"/>
        </w:numPr>
        <w:snapToGrid w:val="0"/>
        <w:spacing w:line="360" w:lineRule="auto"/>
        <w:jc w:val="left"/>
        <w:rPr>
          <w:rFonts w:hint="default" w:ascii="Times New Roman" w:hAnsi="Times New Roman" w:eastAsia="国标宋体" w:cs="Times New Roman"/>
          <w:color w:val="auto"/>
          <w:sz w:val="28"/>
          <w:szCs w:val="28"/>
        </w:rPr>
      </w:pPr>
      <w:bookmarkStart w:id="39" w:name="_Toc553710343"/>
      <w:bookmarkStart w:id="40" w:name="_Toc605578172"/>
      <w:bookmarkStart w:id="41" w:name="_Toc1648908983"/>
      <w:bookmarkStart w:id="42" w:name="_Toc28645"/>
      <w:bookmarkStart w:id="43" w:name="_Toc10236"/>
      <w:bookmarkStart w:id="44" w:name="_Toc11959"/>
      <w:bookmarkStart w:id="45" w:name="_Toc912152001"/>
      <w:bookmarkStart w:id="46" w:name="_Toc8575"/>
      <w:bookmarkStart w:id="47" w:name="_Toc5400"/>
      <w:r>
        <w:rPr>
          <w:rFonts w:hint="default" w:ascii="Times New Roman" w:hAnsi="Times New Roman" w:eastAsia="国标宋体" w:cs="Times New Roman"/>
          <w:color w:val="auto"/>
          <w:sz w:val="28"/>
          <w:szCs w:val="28"/>
        </w:rPr>
        <w:t>鉴定评审程序</w:t>
      </w:r>
      <w:bookmarkEnd w:id="39"/>
      <w:bookmarkEnd w:id="40"/>
      <w:bookmarkEnd w:id="41"/>
      <w:bookmarkEnd w:id="42"/>
      <w:bookmarkEnd w:id="43"/>
      <w:bookmarkEnd w:id="44"/>
      <w:bookmarkEnd w:id="45"/>
      <w:bookmarkEnd w:id="46"/>
      <w:bookmarkEnd w:id="47"/>
    </w:p>
    <w:p w14:paraId="4C021322">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接到核准机关委托后，将在10个工作日内与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商定</w:t>
      </w:r>
      <w:r>
        <w:rPr>
          <w:rFonts w:hint="default" w:ascii="Times New Roman" w:hAnsi="Times New Roman" w:eastAsia="国标宋体" w:cs="Times New Roman"/>
          <w:color w:val="auto"/>
          <w:spacing w:val="8"/>
          <w:sz w:val="28"/>
          <w:szCs w:val="28"/>
          <w:lang w:val="en-US" w:eastAsia="zh-CN"/>
        </w:rPr>
        <w:t>现场</w:t>
      </w:r>
      <w:r>
        <w:rPr>
          <w:rFonts w:hint="default" w:ascii="Times New Roman" w:hAnsi="Times New Roman" w:eastAsia="国标宋体" w:cs="Times New Roman"/>
          <w:color w:val="auto"/>
          <w:spacing w:val="8"/>
          <w:sz w:val="28"/>
          <w:szCs w:val="28"/>
        </w:rPr>
        <w:t>鉴定评审日期</w:t>
      </w:r>
      <w:r>
        <w:rPr>
          <w:rFonts w:hint="default" w:ascii="Times New Roman" w:hAnsi="Times New Roman" w:eastAsia="国标宋体" w:cs="Times New Roman"/>
          <w:color w:val="auto"/>
          <w:spacing w:val="8"/>
          <w:sz w:val="28"/>
          <w:szCs w:val="28"/>
          <w:lang w:eastAsia="zh-CN"/>
        </w:rPr>
        <w:t>，并</w:t>
      </w:r>
      <w:r>
        <w:rPr>
          <w:rFonts w:hint="default" w:ascii="Times New Roman" w:hAnsi="Times New Roman" w:eastAsia="国标宋体" w:cs="Times New Roman"/>
          <w:color w:val="auto"/>
          <w:spacing w:val="8"/>
          <w:sz w:val="28"/>
          <w:szCs w:val="28"/>
        </w:rPr>
        <w:t>将鉴定评审指南、评审日期、程序和要求告知申请单位，并且在60个工作日内完成鉴定评审。</w:t>
      </w:r>
    </w:p>
    <w:p w14:paraId="756A5E81">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3"/>
          <w:sz w:val="28"/>
          <w:szCs w:val="28"/>
        </w:rPr>
        <w:t xml:space="preserve"> </w:t>
      </w:r>
      <w:r>
        <w:rPr>
          <w:rFonts w:hint="default" w:ascii="Times New Roman" w:hAnsi="Times New Roman" w:eastAsia="国标宋体" w:cs="Times New Roman"/>
          <w:color w:val="auto"/>
          <w:sz w:val="28"/>
          <w:szCs w:val="28"/>
        </w:rPr>
        <w:t>商洽</w:t>
      </w:r>
    </w:p>
    <w:p w14:paraId="4C5BF7B5">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1</w:t>
      </w:r>
      <w:r>
        <w:rPr>
          <w:rFonts w:hint="default" w:ascii="Times New Roman" w:hAnsi="Times New Roman" w:eastAsia="国标宋体" w:cs="Times New Roman"/>
          <w:color w:val="auto"/>
          <w:spacing w:val="9"/>
          <w:sz w:val="28"/>
          <w:szCs w:val="28"/>
        </w:rPr>
        <w:t xml:space="preserve"> </w:t>
      </w:r>
      <w:r>
        <w:rPr>
          <w:rFonts w:hint="default" w:ascii="Times New Roman" w:hAnsi="Times New Roman" w:eastAsia="国标宋体" w:cs="Times New Roman"/>
          <w:color w:val="auto"/>
          <w:spacing w:val="7"/>
          <w:sz w:val="28"/>
          <w:szCs w:val="28"/>
          <w:lang w:eastAsia="zh-CN"/>
        </w:rPr>
        <w:t>申请单位</w:t>
      </w:r>
      <w:r>
        <w:rPr>
          <w:rFonts w:hint="default" w:ascii="Times New Roman" w:hAnsi="Times New Roman" w:eastAsia="国标宋体" w:cs="Times New Roman"/>
          <w:color w:val="auto"/>
          <w:spacing w:val="5"/>
          <w:sz w:val="28"/>
          <w:szCs w:val="28"/>
        </w:rPr>
        <w:t>网</w:t>
      </w:r>
      <w:r>
        <w:rPr>
          <w:rFonts w:hint="default" w:ascii="Times New Roman" w:hAnsi="Times New Roman" w:eastAsia="国标宋体" w:cs="Times New Roman"/>
          <w:color w:val="auto"/>
          <w:spacing w:val="7"/>
          <w:sz w:val="28"/>
          <w:szCs w:val="28"/>
        </w:rPr>
        <w:t>上</w:t>
      </w:r>
      <w:r>
        <w:rPr>
          <w:rFonts w:hint="default" w:ascii="Times New Roman" w:hAnsi="Times New Roman" w:eastAsia="国标宋体" w:cs="Times New Roman"/>
          <w:color w:val="auto"/>
          <w:spacing w:val="5"/>
          <w:sz w:val="28"/>
          <w:szCs w:val="28"/>
        </w:rPr>
        <w:t>申</w:t>
      </w:r>
      <w:r>
        <w:rPr>
          <w:rFonts w:hint="default" w:ascii="Times New Roman" w:hAnsi="Times New Roman" w:eastAsia="国标宋体" w:cs="Times New Roman"/>
          <w:color w:val="auto"/>
          <w:spacing w:val="7"/>
          <w:sz w:val="28"/>
          <w:szCs w:val="28"/>
        </w:rPr>
        <w:t>请</w:t>
      </w:r>
      <w:r>
        <w:rPr>
          <w:rFonts w:hint="default" w:ascii="Times New Roman" w:hAnsi="Times New Roman" w:eastAsia="国标宋体" w:cs="Times New Roman"/>
          <w:color w:val="auto"/>
          <w:spacing w:val="5"/>
          <w:sz w:val="28"/>
          <w:szCs w:val="28"/>
        </w:rPr>
        <w:t>被</w:t>
      </w:r>
      <w:r>
        <w:rPr>
          <w:rFonts w:hint="default" w:ascii="Times New Roman" w:hAnsi="Times New Roman" w:eastAsia="国标宋体" w:cs="Times New Roman"/>
          <w:color w:val="auto"/>
          <w:spacing w:val="7"/>
          <w:sz w:val="28"/>
          <w:szCs w:val="28"/>
        </w:rPr>
        <w:t>受</w:t>
      </w:r>
      <w:r>
        <w:rPr>
          <w:rFonts w:hint="default" w:ascii="Times New Roman" w:hAnsi="Times New Roman" w:eastAsia="国标宋体" w:cs="Times New Roman"/>
          <w:color w:val="auto"/>
          <w:spacing w:val="5"/>
          <w:sz w:val="28"/>
          <w:szCs w:val="28"/>
        </w:rPr>
        <w:t>理</w:t>
      </w:r>
      <w:r>
        <w:rPr>
          <w:rFonts w:hint="default" w:ascii="Times New Roman" w:hAnsi="Times New Roman" w:eastAsia="国标宋体" w:cs="Times New Roman"/>
          <w:color w:val="auto"/>
          <w:spacing w:val="7"/>
          <w:sz w:val="28"/>
          <w:szCs w:val="28"/>
        </w:rPr>
        <w:t>后，</w:t>
      </w:r>
      <w:r>
        <w:rPr>
          <w:rFonts w:hint="default" w:ascii="Times New Roman" w:hAnsi="Times New Roman" w:eastAsia="国标宋体" w:cs="Times New Roman"/>
          <w:color w:val="auto"/>
          <w:sz w:val="28"/>
          <w:szCs w:val="28"/>
          <w:lang w:eastAsia="zh-CN"/>
        </w:rPr>
        <w:t>省质量审评中心</w:t>
      </w:r>
      <w:r>
        <w:rPr>
          <w:rFonts w:hint="eastAsia" w:eastAsia="国标宋体" w:cs="Times New Roman"/>
          <w:color w:val="auto"/>
          <w:sz w:val="28"/>
          <w:szCs w:val="28"/>
          <w:lang w:eastAsia="zh-CN"/>
        </w:rPr>
        <w:t>将核查</w:t>
      </w:r>
      <w:r>
        <w:rPr>
          <w:rFonts w:hint="default" w:ascii="Times New Roman" w:hAnsi="Times New Roman" w:eastAsia="国标宋体" w:cs="Times New Roman"/>
          <w:color w:val="auto"/>
          <w:sz w:val="28"/>
          <w:szCs w:val="28"/>
        </w:rPr>
        <w:t>以下资料</w:t>
      </w:r>
      <w:r>
        <w:rPr>
          <w:rFonts w:hint="default" w:ascii="Times New Roman" w:hAnsi="Times New Roman" w:eastAsia="国标宋体" w:cs="Times New Roman"/>
          <w:color w:val="auto"/>
          <w:sz w:val="28"/>
          <w:szCs w:val="28"/>
          <w:lang w:eastAsia="zh-CN"/>
        </w:rPr>
        <w:t>。</w:t>
      </w:r>
    </w:p>
    <w:p w14:paraId="6BE4BEE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受控且有效实施的质量手册</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程序文件</w:t>
      </w:r>
      <w:r>
        <w:rPr>
          <w:rFonts w:hint="default" w:ascii="Times New Roman" w:hAnsi="Times New Roman" w:eastAsia="国标宋体" w:cs="Times New Roman"/>
          <w:color w:val="auto"/>
          <w:sz w:val="28"/>
          <w:szCs w:val="28"/>
          <w:lang w:eastAsia="zh-CN"/>
        </w:rPr>
        <w:t>或者（和）管理制度</w:t>
      </w:r>
      <w:r>
        <w:rPr>
          <w:rFonts w:hint="default" w:ascii="Times New Roman" w:hAnsi="Times New Roman" w:eastAsia="国标宋体" w:cs="Times New Roman"/>
          <w:color w:val="auto"/>
          <w:sz w:val="28"/>
          <w:szCs w:val="28"/>
        </w:rPr>
        <w:t>目录</w:t>
      </w:r>
      <w:r>
        <w:rPr>
          <w:rFonts w:hint="default" w:ascii="Times New Roman" w:hAnsi="Times New Roman" w:eastAsia="国标宋体" w:cs="Times New Roman"/>
          <w:color w:val="auto"/>
          <w:sz w:val="28"/>
          <w:szCs w:val="28"/>
          <w:lang w:eastAsia="zh-CN"/>
        </w:rPr>
        <w:t>、作业指导书目录</w:t>
      </w:r>
      <w:r>
        <w:rPr>
          <w:rFonts w:hint="default" w:ascii="Times New Roman" w:hAnsi="Times New Roman" w:eastAsia="国标宋体" w:cs="Times New Roman"/>
          <w:color w:val="auto"/>
          <w:sz w:val="28"/>
          <w:szCs w:val="28"/>
        </w:rPr>
        <w:t>（各一式一份）</w:t>
      </w:r>
    </w:p>
    <w:p w14:paraId="3AF2E13D">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0"/>
          <w:sz w:val="28"/>
          <w:szCs w:val="28"/>
        </w:rPr>
        <w:t>检验与检测人员配置表</w:t>
      </w:r>
      <w:r>
        <w:rPr>
          <w:rFonts w:hint="default" w:ascii="Times New Roman" w:hAnsi="Times New Roman" w:eastAsia="国标宋体" w:cs="Times New Roman"/>
          <w:color w:val="auto"/>
          <w:spacing w:val="0"/>
          <w:sz w:val="28"/>
          <w:szCs w:val="28"/>
          <w:lang w:eastAsia="zh-CN"/>
        </w:rPr>
        <w:t>、检验单位人员任命文件</w:t>
      </w:r>
    </w:p>
    <w:p w14:paraId="5BCB18DB">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特种设备检验检测人员执业注册证</w:t>
      </w:r>
      <w:r>
        <w:rPr>
          <w:rFonts w:hint="default" w:ascii="Times New Roman" w:hAnsi="Times New Roman" w:eastAsia="国标宋体" w:cs="Times New Roman"/>
          <w:color w:val="auto"/>
          <w:sz w:val="28"/>
          <w:szCs w:val="28"/>
          <w:lang w:eastAsia="zh-CN"/>
        </w:rPr>
        <w:t>（中国特种设备检验协会）</w:t>
      </w:r>
    </w:p>
    <w:p w14:paraId="08407D4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检验设备配置表（包括设备编号、发票及设备原值等信息）</w:t>
      </w:r>
    </w:p>
    <w:p w14:paraId="219CCA9A">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申请核准项目的检验能力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材料</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如采信能力验证报告</w:t>
      </w:r>
      <w:r>
        <w:rPr>
          <w:rFonts w:hint="default" w:ascii="Times New Roman" w:hAnsi="Times New Roman" w:eastAsia="国标宋体" w:cs="Times New Roman"/>
          <w:color w:val="auto"/>
          <w:sz w:val="28"/>
          <w:szCs w:val="28"/>
          <w:lang w:eastAsia="zh-CN"/>
        </w:rPr>
        <w:t>）</w:t>
      </w:r>
    </w:p>
    <w:p w14:paraId="13597F2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lang w:val="en-US" w:eastAsia="zh-CN"/>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固定资产账目</w:t>
      </w:r>
      <w:r>
        <w:rPr>
          <w:rFonts w:hint="default" w:ascii="Times New Roman" w:hAnsi="Times New Roman" w:eastAsia="国标宋体" w:cs="Times New Roman"/>
          <w:color w:val="auto"/>
          <w:sz w:val="28"/>
          <w:szCs w:val="28"/>
          <w:lang w:val="en-US" w:eastAsia="zh-CN"/>
        </w:rPr>
        <w:t>（</w:t>
      </w:r>
      <w:r>
        <w:rPr>
          <w:rFonts w:hint="eastAsia" w:eastAsia="国标宋体" w:cs="Times New Roman"/>
          <w:color w:val="auto"/>
          <w:sz w:val="28"/>
          <w:szCs w:val="28"/>
          <w:lang w:val="en-US" w:eastAsia="zh-CN"/>
        </w:rPr>
        <w:t>甲类检验机构B1级固定资产原值不低于300万元</w:t>
      </w:r>
      <w:r>
        <w:rPr>
          <w:rFonts w:hint="default" w:ascii="Times New Roman" w:hAnsi="Times New Roman" w:eastAsia="国标宋体" w:cs="Times New Roman"/>
          <w:color w:val="auto"/>
          <w:sz w:val="28"/>
          <w:szCs w:val="28"/>
          <w:lang w:val="en-US" w:eastAsia="zh-CN"/>
        </w:rPr>
        <w:t>）</w:t>
      </w:r>
    </w:p>
    <w:p w14:paraId="44971EB9">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其他资料：现有《特种设备检验机构核准证书》（首次核准除外）等</w:t>
      </w:r>
    </w:p>
    <w:p w14:paraId="08DC39C3">
      <w:pPr>
        <w:autoSpaceDE w:val="0"/>
        <w:autoSpaceDN w:val="0"/>
        <w:snapToGrid w:val="0"/>
        <w:spacing w:line="360" w:lineRule="auto"/>
        <w:ind w:firstLine="840" w:firstLineChars="300"/>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rPr>
        <w:t>复印件资料逐页加盖本机构公章，多页资料同时加盖骑缝章，并注明 “复印件与原件一致”。</w:t>
      </w:r>
    </w:p>
    <w:p w14:paraId="661FC5E1">
      <w:pPr>
        <w:autoSpaceDE w:val="0"/>
        <w:autoSpaceDN w:val="0"/>
        <w:snapToGrid w:val="0"/>
        <w:spacing w:line="360" w:lineRule="auto"/>
        <w:ind w:firstLine="592" w:firstLineChars="20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8"/>
          <w:sz w:val="28"/>
          <w:szCs w:val="28"/>
        </w:rPr>
        <w:t>5</w:t>
      </w:r>
      <w:r>
        <w:rPr>
          <w:rFonts w:hint="default" w:ascii="Times New Roman" w:hAnsi="Times New Roman" w:eastAsia="国标宋体" w:cs="Times New Roman"/>
          <w:color w:val="auto"/>
          <w:spacing w:val="5"/>
          <w:sz w:val="28"/>
          <w:szCs w:val="28"/>
        </w:rPr>
        <w:t>.1</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z w:val="28"/>
          <w:szCs w:val="28"/>
        </w:rPr>
        <w:t>2 如资</w:t>
      </w:r>
      <w:r>
        <w:rPr>
          <w:rFonts w:hint="default" w:ascii="Times New Roman" w:hAnsi="Times New Roman" w:eastAsia="国标宋体" w:cs="Times New Roman"/>
          <w:color w:val="auto"/>
          <w:spacing w:val="-2"/>
          <w:sz w:val="28"/>
          <w:szCs w:val="28"/>
        </w:rPr>
        <w:t>料</w:t>
      </w:r>
      <w:r>
        <w:rPr>
          <w:rFonts w:hint="default" w:ascii="Times New Roman" w:hAnsi="Times New Roman" w:eastAsia="国标宋体" w:cs="Times New Roman"/>
          <w:color w:val="auto"/>
          <w:sz w:val="28"/>
          <w:szCs w:val="28"/>
        </w:rPr>
        <w:t>齐全</w:t>
      </w:r>
      <w:r>
        <w:rPr>
          <w:rFonts w:hint="default" w:ascii="Times New Roman" w:hAnsi="Times New Roman" w:eastAsia="国标宋体" w:cs="Times New Roman"/>
          <w:color w:val="auto"/>
          <w:sz w:val="28"/>
          <w:szCs w:val="28"/>
          <w:lang w:val="en-US" w:eastAsia="zh-CN"/>
        </w:rPr>
        <w:t>且符合要求</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将与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2"/>
          <w:sz w:val="28"/>
          <w:szCs w:val="28"/>
        </w:rPr>
        <w:t>商定</w:t>
      </w:r>
      <w:r>
        <w:rPr>
          <w:rFonts w:hint="default" w:ascii="Times New Roman" w:hAnsi="Times New Roman" w:eastAsia="国标宋体" w:cs="Times New Roman"/>
          <w:color w:val="auto"/>
          <w:sz w:val="28"/>
          <w:szCs w:val="28"/>
        </w:rPr>
        <w:t>鉴</w:t>
      </w:r>
      <w:r>
        <w:rPr>
          <w:rFonts w:hint="default" w:ascii="Times New Roman" w:hAnsi="Times New Roman" w:eastAsia="国标宋体" w:cs="Times New Roman"/>
          <w:color w:val="auto"/>
          <w:spacing w:val="-2"/>
          <w:sz w:val="28"/>
          <w:szCs w:val="28"/>
        </w:rPr>
        <w:t>定评</w:t>
      </w:r>
      <w:r>
        <w:rPr>
          <w:rFonts w:hint="default" w:ascii="Times New Roman" w:hAnsi="Times New Roman" w:eastAsia="国标宋体" w:cs="Times New Roman"/>
          <w:color w:val="auto"/>
          <w:sz w:val="28"/>
          <w:szCs w:val="28"/>
        </w:rPr>
        <w:t>审计划</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z w:val="28"/>
          <w:szCs w:val="28"/>
        </w:rPr>
        <w:t>并向</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提</w:t>
      </w:r>
      <w:r>
        <w:rPr>
          <w:rFonts w:hint="default" w:ascii="Times New Roman" w:hAnsi="Times New Roman" w:eastAsia="国标宋体" w:cs="Times New Roman"/>
          <w:color w:val="auto"/>
          <w:sz w:val="28"/>
          <w:szCs w:val="28"/>
        </w:rPr>
        <w:t>供本指</w:t>
      </w:r>
      <w:r>
        <w:rPr>
          <w:rFonts w:hint="default" w:ascii="Times New Roman" w:hAnsi="Times New Roman" w:eastAsia="国标宋体" w:cs="Times New Roman"/>
          <w:color w:val="auto"/>
          <w:spacing w:val="-2"/>
          <w:sz w:val="28"/>
          <w:szCs w:val="28"/>
        </w:rPr>
        <w:t>南</w:t>
      </w:r>
      <w:r>
        <w:rPr>
          <w:rFonts w:hint="default" w:ascii="Times New Roman" w:hAnsi="Times New Roman" w:eastAsia="国标宋体" w:cs="Times New Roman"/>
          <w:color w:val="auto"/>
          <w:sz w:val="28"/>
          <w:szCs w:val="28"/>
        </w:rPr>
        <w:t>、有</w:t>
      </w:r>
      <w:r>
        <w:rPr>
          <w:rFonts w:hint="default" w:ascii="Times New Roman" w:hAnsi="Times New Roman" w:eastAsia="国标宋体" w:cs="Times New Roman"/>
          <w:color w:val="auto"/>
          <w:spacing w:val="-2"/>
          <w:sz w:val="28"/>
          <w:szCs w:val="28"/>
        </w:rPr>
        <w:t>关</w:t>
      </w:r>
      <w:r>
        <w:rPr>
          <w:rFonts w:hint="default" w:ascii="Times New Roman" w:hAnsi="Times New Roman" w:eastAsia="国标宋体" w:cs="Times New Roman"/>
          <w:color w:val="auto"/>
          <w:sz w:val="28"/>
          <w:szCs w:val="28"/>
        </w:rPr>
        <w:t>文件的</w:t>
      </w:r>
      <w:r>
        <w:rPr>
          <w:rFonts w:hint="default" w:ascii="Times New Roman" w:hAnsi="Times New Roman" w:eastAsia="国标宋体" w:cs="Times New Roman"/>
          <w:color w:val="auto"/>
          <w:spacing w:val="-2"/>
          <w:sz w:val="28"/>
          <w:szCs w:val="28"/>
        </w:rPr>
        <w:t>下</w:t>
      </w:r>
      <w:r>
        <w:rPr>
          <w:rFonts w:hint="default" w:ascii="Times New Roman" w:hAnsi="Times New Roman" w:eastAsia="国标宋体" w:cs="Times New Roman"/>
          <w:color w:val="auto"/>
          <w:sz w:val="28"/>
          <w:szCs w:val="28"/>
        </w:rPr>
        <w:t>载及填写要求、现场评审</w:t>
      </w:r>
      <w:r>
        <w:rPr>
          <w:rFonts w:hint="eastAsia" w:eastAsia="国标宋体" w:cs="Times New Roman"/>
          <w:color w:val="auto"/>
          <w:sz w:val="28"/>
          <w:szCs w:val="28"/>
          <w:lang w:eastAsia="zh-CN"/>
        </w:rPr>
        <w:t>核查</w:t>
      </w:r>
      <w:r>
        <w:rPr>
          <w:rFonts w:hint="default" w:ascii="Times New Roman" w:hAnsi="Times New Roman" w:eastAsia="国标宋体" w:cs="Times New Roman"/>
          <w:color w:val="auto"/>
          <w:sz w:val="28"/>
          <w:szCs w:val="28"/>
        </w:rPr>
        <w:t>资料等；如资料不齐全或不符合规定，</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在</w:t>
      </w:r>
      <w:r>
        <w:rPr>
          <w:rFonts w:hint="default" w:ascii="Times New Roman" w:hAnsi="Times New Roman"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个工作日内一次性告知</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需要</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应当按照要求及时提交</w:t>
      </w:r>
      <w:r>
        <w:rPr>
          <w:rFonts w:hint="default" w:ascii="Times New Roman" w:hAnsi="Times New Roman" w:eastAsia="国标宋体" w:cs="Times New Roman"/>
          <w:color w:val="auto"/>
          <w:sz w:val="28"/>
          <w:szCs w:val="28"/>
          <w:lang w:val="en-US" w:eastAsia="zh-CN"/>
        </w:rPr>
        <w:t>补齐</w:t>
      </w:r>
      <w:r>
        <w:rPr>
          <w:rFonts w:hint="default" w:ascii="Times New Roman" w:hAnsi="Times New Roman" w:eastAsia="国标宋体" w:cs="Times New Roman"/>
          <w:color w:val="auto"/>
          <w:sz w:val="28"/>
          <w:szCs w:val="28"/>
        </w:rPr>
        <w:t>补正的内容。</w:t>
      </w:r>
    </w:p>
    <w:p w14:paraId="4ECCA12D">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5.2 协商鉴定评审计划</w:t>
      </w:r>
    </w:p>
    <w:p w14:paraId="1815475B">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应当与</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协商鉴定评审计划，明确鉴定评审工作日程安排、程序和要求等事项，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可以对鉴定评审人员提出合理的回避要求。设有</w:t>
      </w:r>
      <w:r>
        <w:rPr>
          <w:rFonts w:hint="default" w:ascii="Times New Roman" w:hAnsi="Times New Roman" w:eastAsia="国标宋体" w:cs="Times New Roman"/>
          <w:color w:val="auto"/>
          <w:sz w:val="28"/>
          <w:szCs w:val="28"/>
          <w:lang w:eastAsia="zh-CN"/>
        </w:rPr>
        <w:t>下属单位</w:t>
      </w:r>
      <w:r>
        <w:rPr>
          <w:rFonts w:hint="default" w:ascii="Times New Roman" w:hAnsi="Times New Roman" w:eastAsia="国标宋体" w:cs="Times New Roman"/>
          <w:color w:val="auto"/>
          <w:sz w:val="28"/>
          <w:szCs w:val="28"/>
        </w:rPr>
        <w:t>且共享母体核准资源条件的，所有下属机构须同步纳入本次现场评审范围，逐一核查人员、场地、设备等资源。</w:t>
      </w:r>
    </w:p>
    <w:p w14:paraId="72B0645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特殊情况，由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根据协商结果，在</w:t>
      </w:r>
      <w:r>
        <w:rPr>
          <w:rFonts w:hint="default" w:ascii="Times New Roman" w:hAnsi="Times New Roman" w:eastAsia="国标宋体" w:cs="Times New Roman"/>
          <w:color w:val="auto"/>
          <w:spacing w:val="8"/>
          <w:sz w:val="28"/>
          <w:szCs w:val="28"/>
          <w:lang w:eastAsia="zh-CN"/>
        </w:rPr>
        <w:t>《特种设备检验机构核准现场鉴定评审任务书》</w:t>
      </w:r>
      <w:r>
        <w:rPr>
          <w:rFonts w:hint="default" w:ascii="Times New Roman" w:hAnsi="Times New Roman" w:eastAsia="国标宋体" w:cs="Times New Roman"/>
          <w:color w:val="auto"/>
          <w:spacing w:val="8"/>
          <w:sz w:val="28"/>
          <w:szCs w:val="28"/>
        </w:rPr>
        <w:t>中明确。</w:t>
      </w:r>
    </w:p>
    <w:p w14:paraId="1E497C6B">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5.3 接收《</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及《特种设备检验机构核准现场鉴定评审任务书》</w:t>
      </w:r>
    </w:p>
    <w:p w14:paraId="0C6B2B04">
      <w:pPr>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鉴定评审计划</w:t>
      </w:r>
      <w:r>
        <w:rPr>
          <w:rFonts w:hint="default" w:ascii="Times New Roman" w:hAnsi="Times New Roman" w:eastAsia="国标宋体" w:cs="Times New Roman"/>
          <w:color w:val="auto"/>
          <w:sz w:val="28"/>
          <w:szCs w:val="28"/>
          <w:lang w:eastAsia="zh-CN"/>
        </w:rPr>
        <w:t>商定</w:t>
      </w:r>
      <w:r>
        <w:rPr>
          <w:rFonts w:hint="default" w:ascii="Times New Roman" w:hAnsi="Times New Roman" w:eastAsia="国标宋体" w:cs="Times New Roman"/>
          <w:color w:val="auto"/>
          <w:sz w:val="28"/>
          <w:szCs w:val="28"/>
        </w:rPr>
        <w:t>后，</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向</w:t>
      </w:r>
      <w:r>
        <w:rPr>
          <w:rFonts w:hint="default" w:ascii="Times New Roman" w:hAnsi="Times New Roman" w:eastAsia="国标宋体" w:cs="Times New Roman"/>
          <w:color w:val="auto"/>
          <w:sz w:val="28"/>
          <w:szCs w:val="28"/>
          <w:lang w:eastAsia="zh-CN"/>
        </w:rPr>
        <w:t>申请单位发出</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特种设备检验机构核准鉴定评审通知函</w:t>
      </w:r>
      <w:r>
        <w:rPr>
          <w:rFonts w:hint="default" w:ascii="Times New Roman" w:hAnsi="Times New Roman" w:eastAsia="国标宋体" w:cs="Times New Roman"/>
          <w:color w:val="auto"/>
          <w:spacing w:val="8"/>
          <w:sz w:val="28"/>
          <w:szCs w:val="28"/>
        </w:rPr>
        <w:t>》并通知</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监管部门。</w:t>
      </w:r>
    </w:p>
    <w:p w14:paraId="04D0AAA3">
      <w:pPr>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发出的现场鉴定评审通知函（一般在现场评审 7 日前发出）后，应当</w:t>
      </w:r>
      <w:r>
        <w:rPr>
          <w:rFonts w:hint="default" w:ascii="Times New Roman" w:hAnsi="Times New Roman" w:eastAsia="国标宋体" w:cs="Times New Roman"/>
          <w:color w:val="auto"/>
          <w:sz w:val="28"/>
          <w:szCs w:val="28"/>
          <w:lang w:val="en-US" w:eastAsia="zh-CN"/>
        </w:rPr>
        <w:t>按照通知函的要求</w:t>
      </w:r>
      <w:r>
        <w:rPr>
          <w:rFonts w:hint="default" w:ascii="Times New Roman" w:hAnsi="Times New Roman" w:eastAsia="国标宋体" w:cs="Times New Roman"/>
          <w:color w:val="auto"/>
          <w:sz w:val="28"/>
          <w:szCs w:val="28"/>
        </w:rPr>
        <w:t>及时</w:t>
      </w:r>
      <w:r>
        <w:rPr>
          <w:rFonts w:hint="default" w:ascii="Times New Roman" w:hAnsi="Times New Roman" w:eastAsia="国标宋体" w:cs="Times New Roman"/>
          <w:color w:val="auto"/>
          <w:sz w:val="28"/>
          <w:szCs w:val="28"/>
          <w:lang w:val="en-US" w:eastAsia="zh-CN"/>
        </w:rPr>
        <w:t>准备评审</w:t>
      </w:r>
      <w:r>
        <w:rPr>
          <w:rFonts w:hint="default" w:ascii="Times New Roman" w:hAnsi="Times New Roman" w:eastAsia="国标宋体" w:cs="Times New Roman"/>
          <w:color w:val="auto"/>
          <w:sz w:val="28"/>
          <w:szCs w:val="28"/>
        </w:rPr>
        <w:t>事项</w:t>
      </w:r>
      <w:r>
        <w:rPr>
          <w:rFonts w:hint="default" w:ascii="Times New Roman" w:hAnsi="Times New Roman" w:eastAsia="国标宋体" w:cs="Times New Roman"/>
          <w:color w:val="auto"/>
          <w:sz w:val="28"/>
          <w:szCs w:val="28"/>
          <w:lang w:eastAsia="zh-CN"/>
        </w:rPr>
        <w:t>，评审现场核查的资料详见附录</w:t>
      </w:r>
      <w:r>
        <w:rPr>
          <w:rFonts w:hint="default" w:ascii="Times New Roman" w:hAnsi="Times New Roman" w:eastAsia="国标宋体" w:cs="Times New Roman"/>
          <w:color w:val="auto"/>
          <w:sz w:val="28"/>
          <w:szCs w:val="28"/>
          <w:lang w:val="en-US" w:eastAsia="zh-CN"/>
        </w:rPr>
        <w:t>A</w:t>
      </w:r>
      <w:r>
        <w:rPr>
          <w:rFonts w:hint="eastAsia" w:eastAsia="国标宋体" w:cs="Times New Roman"/>
          <w:color w:val="auto"/>
          <w:sz w:val="28"/>
          <w:szCs w:val="28"/>
          <w:lang w:val="en-US" w:eastAsia="zh-CN"/>
        </w:rPr>
        <w:t>—</w:t>
      </w:r>
      <w:r>
        <w:rPr>
          <w:rFonts w:hint="default" w:ascii="Times New Roman" w:hAnsi="Times New Roman" w:eastAsia="国标宋体" w:cs="Times New Roman"/>
          <w:color w:val="auto"/>
          <w:sz w:val="28"/>
          <w:szCs w:val="28"/>
          <w:lang w:eastAsia="zh-CN"/>
        </w:rPr>
        <w:t>附录</w:t>
      </w:r>
      <w:r>
        <w:rPr>
          <w:rFonts w:hint="default" w:ascii="Times New Roman" w:hAnsi="Times New Roman" w:eastAsia="国标宋体" w:cs="Times New Roman"/>
          <w:color w:val="auto"/>
          <w:sz w:val="28"/>
          <w:szCs w:val="28"/>
          <w:lang w:val="en-US" w:eastAsia="zh-CN"/>
        </w:rPr>
        <w:t>C</w:t>
      </w:r>
      <w:r>
        <w:rPr>
          <w:rFonts w:hint="default" w:ascii="Times New Roman" w:hAnsi="Times New Roman" w:eastAsia="国标宋体" w:cs="Times New Roman"/>
          <w:color w:val="auto"/>
          <w:sz w:val="28"/>
          <w:szCs w:val="28"/>
        </w:rPr>
        <w:t>。</w:t>
      </w:r>
    </w:p>
    <w:p w14:paraId="154B0A4A">
      <w:pPr>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收到</w:t>
      </w:r>
      <w:r>
        <w:rPr>
          <w:rFonts w:hint="default" w:ascii="Times New Roman" w:hAnsi="Times New Roman" w:eastAsia="国标宋体" w:cs="Times New Roman"/>
          <w:color w:val="auto"/>
          <w:sz w:val="28"/>
          <w:szCs w:val="28"/>
          <w:lang w:eastAsia="zh-CN"/>
        </w:rPr>
        <w:t>省质量审评中心</w:t>
      </w:r>
      <w:r>
        <w:rPr>
          <w:rFonts w:hint="default" w:ascii="Times New Roman" w:hAnsi="Times New Roman" w:eastAsia="国标宋体" w:cs="Times New Roman"/>
          <w:color w:val="auto"/>
          <w:sz w:val="28"/>
          <w:szCs w:val="28"/>
        </w:rPr>
        <w:t>发出的</w:t>
      </w:r>
      <w:r>
        <w:rPr>
          <w:rFonts w:hint="default" w:ascii="Times New Roman" w:hAnsi="Times New Roman" w:eastAsia="国标宋体" w:cs="Times New Roman"/>
          <w:color w:val="auto"/>
          <w:spacing w:val="8"/>
          <w:sz w:val="28"/>
          <w:szCs w:val="28"/>
          <w:lang w:val="en-US" w:eastAsia="zh-CN"/>
        </w:rPr>
        <w:t>《特种设备检验机构核准现场鉴定评审任务书》</w:t>
      </w:r>
      <w:r>
        <w:rPr>
          <w:rFonts w:hint="default" w:ascii="Times New Roman" w:hAnsi="Times New Roman" w:eastAsia="国标宋体" w:cs="Times New Roman"/>
          <w:color w:val="auto"/>
          <w:sz w:val="28"/>
          <w:szCs w:val="28"/>
        </w:rPr>
        <w:t>后，应当及时与评审组成员取得联系，明确评审组成员日程安排等事项。</w:t>
      </w:r>
    </w:p>
    <w:p w14:paraId="5C6E5E56">
      <w:pPr>
        <w:autoSpaceDE w:val="0"/>
        <w:autoSpaceDN w:val="0"/>
        <w:snapToGrid w:val="0"/>
        <w:spacing w:line="360" w:lineRule="auto"/>
        <w:ind w:firstLine="592" w:firstLineChars="200"/>
        <w:jc w:val="left"/>
        <w:outlineLvl w:val="1"/>
        <w:rPr>
          <w:rFonts w:hint="eastAsia" w:eastAsia="国标宋体" w:cs="Times New Roman"/>
          <w:color w:val="auto"/>
          <w:spacing w:val="8"/>
          <w:sz w:val="28"/>
          <w:szCs w:val="28"/>
          <w:lang w:eastAsia="zh-CN"/>
        </w:rPr>
      </w:pPr>
      <w:r>
        <w:rPr>
          <w:rFonts w:hint="eastAsia" w:eastAsia="国标宋体" w:cs="Times New Roman"/>
          <w:color w:val="auto"/>
          <w:spacing w:val="8"/>
          <w:sz w:val="28"/>
          <w:szCs w:val="28"/>
          <w:lang w:eastAsia="zh-CN"/>
        </w:rPr>
        <w:t>——评审组成员在评审期间的差旅费（住宿费、交通费等）、评审劳务费均由省</w:t>
      </w:r>
      <w:r>
        <w:rPr>
          <w:rFonts w:hint="default" w:ascii="Times New Roman" w:hAnsi="Times New Roman" w:eastAsia="国标宋体" w:cs="Times New Roman"/>
          <w:color w:val="auto"/>
          <w:spacing w:val="8"/>
          <w:sz w:val="28"/>
          <w:szCs w:val="28"/>
        </w:rPr>
        <w:t>质量</w:t>
      </w:r>
      <w:r>
        <w:rPr>
          <w:rFonts w:hint="eastAsia" w:eastAsia="国标宋体" w:cs="Times New Roman"/>
          <w:color w:val="auto"/>
          <w:spacing w:val="8"/>
          <w:sz w:val="28"/>
          <w:szCs w:val="28"/>
          <w:lang w:eastAsia="zh-CN"/>
        </w:rPr>
        <w:t>审评中心承担，按规定统一支付，</w:t>
      </w:r>
      <w:r>
        <w:rPr>
          <w:rFonts w:hint="default" w:ascii="Times New Roman" w:hAnsi="Times New Roman" w:eastAsia="国标宋体" w:cs="Times New Roman"/>
          <w:color w:val="auto"/>
          <w:spacing w:val="8"/>
          <w:sz w:val="28"/>
          <w:szCs w:val="28"/>
        </w:rPr>
        <w:t>申请单位无需承担评审产生的任何费用</w:t>
      </w:r>
      <w:r>
        <w:rPr>
          <w:rFonts w:hint="eastAsia" w:ascii="Times New Roman" w:hAnsi="Times New Roman" w:eastAsia="国标宋体" w:cs="Times New Roman"/>
          <w:color w:val="auto"/>
          <w:spacing w:val="8"/>
          <w:sz w:val="28"/>
          <w:szCs w:val="28"/>
          <w:lang w:eastAsia="zh-CN"/>
        </w:rPr>
        <w:t>。</w:t>
      </w:r>
    </w:p>
    <w:p w14:paraId="47E1BF3E">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评审组不得接受申请单位任何现金、有价证券和礼品礼物，不参加任何形式的可能影响鉴定评审工作和结论的宴请或娱乐活动，不接受评审相对人违规吃喝宴请，在评审工作期间严禁饮酒。审评期间原则上不在审评相对人处用餐，若确需在审评相对人处用餐，应按规定向审评相对人支付餐费</w:t>
      </w:r>
      <w:r>
        <w:rPr>
          <w:rFonts w:hint="default" w:ascii="Times New Roman" w:hAnsi="Times New Roman" w:eastAsia="国标宋体" w:cs="Times New Roman"/>
          <w:color w:val="auto"/>
          <w:spacing w:val="8"/>
          <w:sz w:val="28"/>
          <w:szCs w:val="28"/>
        </w:rPr>
        <w:t>。</w:t>
      </w:r>
    </w:p>
    <w:p w14:paraId="540B3B90">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5.4 </w:t>
      </w:r>
      <w:r>
        <w:rPr>
          <w:rFonts w:hint="default" w:ascii="Times New Roman" w:hAnsi="Times New Roman" w:eastAsia="国标宋体" w:cs="Times New Roman"/>
          <w:color w:val="auto"/>
          <w:spacing w:val="8"/>
          <w:sz w:val="28"/>
          <w:szCs w:val="28"/>
          <w:lang w:eastAsia="zh-CN"/>
        </w:rPr>
        <w:t>现场评审</w:t>
      </w:r>
      <w:r>
        <w:rPr>
          <w:rFonts w:hint="default" w:ascii="Times New Roman" w:hAnsi="Times New Roman" w:eastAsia="国标宋体" w:cs="Times New Roman"/>
          <w:color w:val="auto"/>
          <w:spacing w:val="8"/>
          <w:sz w:val="28"/>
          <w:szCs w:val="28"/>
        </w:rPr>
        <w:t>前期准备</w:t>
      </w:r>
    </w:p>
    <w:p w14:paraId="07570AC4">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评审组根据工作需要通过电话或线上会议等方式充分与申请单位</w:t>
      </w:r>
      <w:r>
        <w:rPr>
          <w:rFonts w:hint="default" w:ascii="Times New Roman" w:hAnsi="Times New Roman" w:eastAsia="国标宋体" w:cs="Times New Roman"/>
          <w:color w:val="auto"/>
          <w:spacing w:val="8"/>
          <w:sz w:val="28"/>
          <w:szCs w:val="28"/>
          <w:lang w:eastAsia="zh-CN"/>
        </w:rPr>
        <w:t>和属地</w:t>
      </w:r>
      <w:r>
        <w:rPr>
          <w:rFonts w:hint="default" w:ascii="Times New Roman" w:hAnsi="Times New Roman" w:eastAsia="国标宋体" w:cs="Times New Roman"/>
          <w:color w:val="auto"/>
          <w:spacing w:val="8"/>
          <w:sz w:val="28"/>
          <w:szCs w:val="28"/>
        </w:rPr>
        <w:t>特种设备监督管理部门代表沟通</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确认</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申请的检验机构类别，明确评审组成员分工（一般分为资源条件组、质量管理体系组和</w:t>
      </w:r>
      <w:r>
        <w:rPr>
          <w:rFonts w:hint="default" w:ascii="Times New Roman" w:hAnsi="Times New Roman" w:eastAsia="国标宋体" w:cs="Times New Roman"/>
          <w:color w:val="auto"/>
          <w:spacing w:val="8"/>
          <w:sz w:val="28"/>
          <w:szCs w:val="28"/>
          <w:lang w:eastAsia="zh-CN"/>
        </w:rPr>
        <w:t>检验能力</w:t>
      </w:r>
      <w:r>
        <w:rPr>
          <w:rFonts w:hint="default" w:ascii="Times New Roman" w:hAnsi="Times New Roman" w:eastAsia="国标宋体" w:cs="Times New Roman"/>
          <w:color w:val="auto"/>
          <w:spacing w:val="8"/>
          <w:sz w:val="28"/>
          <w:szCs w:val="28"/>
        </w:rPr>
        <w:t>组）、评审计划、评审要求、评审方法等。</w:t>
      </w:r>
    </w:p>
    <w:p w14:paraId="4FCDD6D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5.5 首次会议</w:t>
      </w:r>
    </w:p>
    <w:p w14:paraId="3F049692">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首次会议由评审组长主持，全体评审组成员、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一般为申请单位</w:t>
      </w:r>
      <w:r>
        <w:rPr>
          <w:rFonts w:hint="eastAsia" w:eastAsia="国标宋体" w:cs="Times New Roman"/>
          <w:color w:val="auto"/>
          <w:spacing w:val="8"/>
          <w:sz w:val="28"/>
          <w:szCs w:val="28"/>
          <w:lang w:val="en-US" w:eastAsia="zh-CN"/>
        </w:rPr>
        <w:t>法定代表人/主要负责人</w:t>
      </w:r>
      <w:r>
        <w:rPr>
          <w:rFonts w:hint="default" w:ascii="Times New Roman" w:hAnsi="Times New Roman" w:eastAsia="国标宋体" w:cs="Times New Roman"/>
          <w:color w:val="auto"/>
          <w:spacing w:val="8"/>
          <w:sz w:val="28"/>
          <w:szCs w:val="28"/>
          <w:lang w:val="en-US" w:eastAsia="zh-CN"/>
        </w:rPr>
        <w:t>，关键岗位人员，全部在场持证检验检测人员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参加。与会人员在《首次会议签到表》等文件上签名。具体内容如下：</w:t>
      </w:r>
    </w:p>
    <w:p w14:paraId="19C19CC7">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与会各方代表介绍到会人员。</w:t>
      </w:r>
    </w:p>
    <w:p w14:paraId="0C7672BA">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评审组长说明评审依据、评审范围、评审程序、评审分工，以及</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的计划时间及内容，并征求</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的意见。</w:t>
      </w:r>
    </w:p>
    <w:p w14:paraId="566DD4C6">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负责人简要介绍鉴定评审准备情况和自查情况，并签署</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真实性承诺书。</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7456"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18" name="1095"/>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5" o:spid="_x0000_s1026" o:spt="20" style="position:absolute;left:0pt;margin-left:75.35pt;margin-top:53.5pt;height:0pt;width:0.25pt;mso-position-horizontal-relative:page;mso-position-vertical-relative:page;z-index:-251649024;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KMLS/TaAQAA4gMAAA4AAABkcnMvZTJvRG9jLnhtbK1Ty47b&#10;MAy8F+g/CLo3TlJsH0acRbHp9lK0Adp+ACPJtgC9QCpx8velbG+63V5yKAzIlEgNOUNqc3/2TpwM&#10;ko2hkavFUgoTVNQ2dI389fPxzQcpKEPQ4GIwjbwYkvfb1682Q6rNOvbRaYOCQQLVQ2pkn3Oqq4pU&#10;bzzQIiYT2NlG9JB5i12lEQZG965aL5fvqiGiThiVIeLT3eSUMyLeAhjb1iqzi+roTcgTKhoHmSlR&#10;bxPJ7Vht2xqVv7ctmSxcI5lpHldOwvahrNV2A3WHkHqr5hLglhJecPJgAye9Qu0ggzii/QfKW4WR&#10;YpsXKvpqIjIqwixWyxfa/OghmZELS03pKjr9P1j17bRHYTVPAvc9gOeOr5Yf74owQ6Ka/Q9hj/OO&#10;0h4Ly3OLvvy5fnEexbxcxTTnLBQfvl29v5NCPTmqP7cSUv5iohfFaKSzoZCEGk5fKXMmDn0KKccu&#10;iOEKBzxxGDQD+8RFU+jGqxSd1Y/WuXKBsDs8OBQn4KZ/WvO3KnQY9q+wkmMH1E9xo2sah96A/hy0&#10;yJfEagR+BbJU4A2ndYYfTbEYEOoM1t0SyaldKBfMOJIzzaLvpGixDlFfuBXHhLbrWZap5uLh1o/V&#10;z2NaZuv5nu3nT3P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jC0v0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8480" behindDoc="1" locked="0" layoutInCell="1" allowOverlap="1">
                <wp:simplePos x="0" y="0"/>
                <wp:positionH relativeFrom="page">
                  <wp:posOffset>6853555</wp:posOffset>
                </wp:positionH>
                <wp:positionV relativeFrom="page">
                  <wp:posOffset>678180</wp:posOffset>
                </wp:positionV>
                <wp:extent cx="0" cy="3175"/>
                <wp:effectExtent l="0" t="0" r="0" b="0"/>
                <wp:wrapNone/>
                <wp:docPr id="19" name="1097"/>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097" o:spid="_x0000_s1026" o:spt="20" style="position:absolute;left:0pt;margin-left:539.65pt;margin-top:53.4pt;height:0.25pt;width:0pt;mso-position-horizontal-relative:page;mso-position-vertical-relative:page;z-index:-251648000;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Ql8PaNkBAADiAwAADgAAAGRycy9lMm9Eb2MueG1srVNN&#10;b9swDL0P2H8QdF9sdx9djTg9NO0uwxag2w9gJNkWoC+ISpz8+1Gyl3XdJYfBgEyR1CPfE7W+P1nD&#10;jiqi9q7jzarmTDnhpXZDx3/+eHr3mTNM4CQY71THzwr5/ebtm/UUWnXjR2+kioxAHLZT6PiYUmir&#10;CsWoLODKB+Uo2PtoIdE2DpWMMBG6NdVNXX+qJh9liF4oRPJu5yBfEOM1gL7vtVBbLw5WuTSjRmUg&#10;ESUcdUC+Kd32vRLpe9+jSsx0nJimslIRsvd5rTZraIcIYdRiaQGuaeEVJwvaUdEL1BYSsEPU/0BZ&#10;LaJH36eV8LaaiRRFiEVTv9LmeYSgCheSGsNFdPx/sOLbcReZljQJd5w5sHTjTX13m4WZArYUf3C7&#10;uOww7GJmeeqjzX/qn52KmOeLmOqUmJidgrzvm9uPGaz6cypETF+UtywbHTfaZZLQwvErpjn1d0p2&#10;G8emBYcJoImLTnImbKCm0Q3lKHqj5ZM2Jh/AOOwfTGRHoEt//JC/pYO/0nKNLeA455VQToN2VCAf&#10;nWTpHEgNR6+A5w6sorJG0aPJVslMoM01mUTeuAytykguNLO+s6LZ2nt5pqs4hKiHkWRpSs85Qldf&#10;9FvGNM/Wyz3ZL5/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Ql8Pa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69504" behindDoc="1" locked="0" layoutInCell="1" allowOverlap="1">
                <wp:simplePos x="0" y="0"/>
                <wp:positionH relativeFrom="page">
                  <wp:posOffset>6853555</wp:posOffset>
                </wp:positionH>
                <wp:positionV relativeFrom="page">
                  <wp:posOffset>678180</wp:posOffset>
                </wp:positionV>
                <wp:extent cx="0" cy="3175"/>
                <wp:effectExtent l="0" t="0" r="0" b="0"/>
                <wp:wrapNone/>
                <wp:docPr id="20" name="1098"/>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8" o:spid="_x0000_s1026" o:spt="20" style="position:absolute;left:0pt;margin-left:539.65pt;margin-top:53.4pt;height:0.25pt;width:0pt;mso-position-horizontal-relative:page;mso-position-vertical-relative:page;z-index:-251646976;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DpQXs92QEAAOIDAAAOAAAAZHJzL2Uyb0RvYy54bWytU02P0zAQ&#10;vSPxHyzfadoiYImartCW5YKg0sIPmNqTxJK/5HGb9t8zTkJZlksPKJIznhm/mfc83tyfnRUnTGSC&#10;b+RqsZQCvQra+K6RP388vrmTgjJ4DTZ4bOQFSd5vX7/aDLHGdeiD1ZgEg3iqh9jIPudYVxWpHh3Q&#10;IkT0HGxDcpB5m7pKJxgY3dlqvVy+r4aQdExBIRF7d1NQzojpFsDQtkbhLqijQ58n1IQWMlOi3kSS&#10;27HbtkWVv7ctYRa2kcw0jysXYftQ1mq7gbpLEHuj5hbglhZecHJgPBe9Qu0ggzgm8w+UMyoFCm1e&#10;qOCqicioCLNYLV9o89RDxJELS03xKjr9P1j17bRPwuhGrlkSD45vfLX8eFeEGSLVHH/w+zTvKO5T&#10;YXlukyt/7l+cRzEvVzHxnIWanIq9b1cf3hWw6s+pmCh/weBEMRppjS8koYbTV8pT6u+U4rZeDDOO&#10;UMATl7yWQrnITZPvxqMUrNGPxtpygFJ3eLBJnIAv/dOav9XcwV9ppcYOqJ/yxlBJg7pH0J+9FvkS&#10;WQ3Pr0CWDhxyWYv8aIo1ZmYw9pZMJm99gcZxJGeaRd9J0WIdgr7wVRxjMl3Pskw9lwhf/ajfPKZl&#10;tp7v2X7+NLe/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LOu4fUAAAADQEAAA8AAAAAAAAAAQAg&#10;AAAAIgAAAGRycy9kb3ducmV2LnhtbFBLAQIUABQAAAAIAIdO4kDpQXs92QEAAOIDAAAOAAAAAAAA&#10;AAEAIAAAACMBAABkcnMvZTJvRG9jLnhtbFBLBQYAAAAABgAGAFkBAABu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0528"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21" name="1099"/>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099" o:spid="_x0000_s1026" o:spt="20" style="position:absolute;left:0pt;margin-left:75.5pt;margin-top:53.65pt;height:1.1pt;width:0pt;mso-position-horizontal-relative:page;mso-position-vertical-relative:page;z-index:-251645952;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S0/MB4AEAAOMDAAAOAAAAZHJzL2Uyb0RvYy54bWytU02P0zAQ&#10;vSPxHyzfaZKuYGnUdIW2LBcElRZ+wNR2Ekv+ksdt2n/P2CllWS49oEjO2DPzZt7zeP1wsoYdVUTt&#10;XcebRc2ZcsJL7YaO//zx9O4jZ5jASTDeqY6fFfKHzds36ym0aulHb6SKjEActlPo+JhSaKsKxags&#10;4MIH5cjZ+2gh0TYOlYwwEbo11bKuP1STjzJELxQinW5nJ78gxlsAfd9robZeHKxyaUaNykAiSjjq&#10;gHxTuu17JdL3vkeVmOk4MU1lpSJk7/NabdbQDhHCqMWlBbilhVecLGhHRa9QW0jADlH/A2W1iB59&#10;nxbC22omUhQhFk39SpvnEYIqXEhqDFfR8f/Bim/HXWRadnzZcObA0o039WqVhZkCtuR/dLt42WHY&#10;xczy1Eeb/9Q/OxUxz1cx1SkxMR8KOm3uVvdF5upPWoiYvihvWTY6brTLLKGF41dMVIpCf4fkY+PY&#10;1PG75v49ZwJo5KKTZNlAXaMbSip6o+WTNiYnYBz2jyayI9Ctf1rS12Q+BPtXWK6xBRznuOKa52FU&#10;ID87ydI5kByOngHPHVhFZY2iV5MtAoQ2gTa3RFJp43KCKjN5oZkFniXN1t7LM93FIUQ9jCTL3HP2&#10;0N2X7i9zmofr5Z7sl29z8w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cpqzP1AAAAAsBAAAPAAAA&#10;AAAAAAEAIAAAACIAAABkcnMvZG93bnJldi54bWxQSwECFAAUAAAACACHTuJAUtPzAeABAADjAwAA&#10;DgAAAAAAAAABACAAAAAjAQAAZHJzL2Uyb0RvYy54bWxQSwUGAAAAAAYABgBZAQAAdQ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1552"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22" name="1100"/>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0" o:spid="_x0000_s1026" o:spt="20" style="position:absolute;left:0pt;margin-left:539.65pt;margin-top:53.65pt;height:1.1pt;width:0pt;mso-position-horizontal-relative:page;mso-position-vertical-relative:page;z-index:-251644928;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IKUrxLfAQAA4wMAAA4AAABkcnMvZTJvRG9jLnhtbK1T&#10;TW/bMAy9D9h/EHRvbKfbuhpxemjaXYYtwLYfwEiyLUBfEJU4+fej5CztuksOgwGZEqnHx0dq9XC0&#10;hh1URO1dx5tFzZlywkvtho7/+vl885kzTOAkGO9Ux08K+cP6/bvVFFq19KM3UkVGIA7bKXR8TCm0&#10;VYViVBZw4YNy5Ox9tJBoG4dKRpgI3ZpqWdefqslHGaIXCpFON7OTnxHjNYC+77VQGy/2Vrk0o0Zl&#10;IFFJOOqAfF3Y9r0S6Xvfo0rMdJwqTWWlJGTv8lqtV9AOEcKoxZkCXEPhTU0WtKOkF6gNJGD7qP+B&#10;slpEj75PC+FtNRdSFKEqmvqNNj9GCKrUQlJjuIiO/w9WfDtsI9Oy48slZw4sdbxp6iLMFLAl/6Pb&#10;RpIp7zBsY67y2Eeb/8SfHYuYp4uY6piYmA8FnTa393cFrXq5FiKmL8pblo2OG+1yldDC4SsmSkWh&#10;f0LysXFs6vhtc/eRMwE0ctFJsmwg1uiGchW90fJZG5MvYBx2jyayA1DXnz7kLzeaYP8Kyzk2gOMc&#10;V1zzPIwK5JOTLJ0CyeHoGfDMwCpKaxS9mmyVyUmgzTWRlNq4TE2VmTyX+SJptnZenqgX+xD1MJIs&#10;TeGcPdT7wv48p3m4Xu/Jfv0217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IKUrx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2576"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3" name="1101"/>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01" o:spid="_x0000_s1026" o:spt="20" style="position:absolute;left:0pt;margin-left:75.35pt;margin-top:54.85pt;height:0pt;width:0.25pt;mso-position-horizontal-relative:page;mso-position-vertical-relative:page;z-index:-251643904;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OoFmWXZAQAA4gMAAA4AAABkcnMvZTJvRG9jLnhtbK1Ty47b&#10;MAy8F+g/CLo3trPoA0acRbHp9lK0Abr9AEWSbQF6gVTi5O9Lyd50u73kUBiQKZEacobU5v7sLDtp&#10;QBN8x5tVzZn2Mijjh47/enp894kzTMIrYYPXHb9o5Pfbt282U2z1OozBKg2MQDy2U+z4mFJsqwrl&#10;qJ3AVYjak7MP4ESiLQyVAjERurPVuq4/VFMAFSFIjUinu9nJF0S4BTD0vZF6F+TRaZ9mVNBWJKKE&#10;o4nIt6Xavtcy/eh71InZjhPTVFZKQvYhr9V2I9oBRByNXEoQt5TwipMTxlPSK9ROJMGOYP6BckZC&#10;wNCnlQyumokURYhFU7/S5ucooi5cSGqMV9Hx/8HK76c9MKM6vr7jzAtHHW+ausnCTBFb8j/4PSw7&#10;jHvILM89uPyn+tm5iHm5iqnPiUk6vGs+vudMPjuqP7ciYPqqg2PZ6Lg1PpMUrTh9w0SZKPQ5JB9b&#10;z6YrnKCJA68I2EUqGv1QrmKwRj0aa/MFhOHwYIGdBDX985q+Qodg/wrLOXYCxzmuuOZxGLVQX7xi&#10;6RJJDU+vgOcKnKa0VtOjyVYZnCSMvSWSUlufS9NlJBeaWd9Z0WwdgrpQK44RzDCSLHPN2UOtL6Is&#10;Y5pn6+We7JdPc/s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TnlN9YAAAALAQAADwAAAAAAAAAB&#10;ACAAAAAiAAAAZHJzL2Rvd25yZXYueG1sUEsBAhQAFAAAAAgAh07iQOoFmWXZAQAA4gMAAA4AAAAA&#10;AAAAAQAgAAAAJQEAAGRycy9lMm9Eb2MueG1sUEsFBgAAAAAGAAYAWQEAAHA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3600"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24" name="1102"/>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2" o:spid="_x0000_s1026" o:spt="20" style="position:absolute;left:0pt;margin-left:75.35pt;margin-top:54.85pt;height:0pt;width:0.25pt;mso-position-horizontal-relative:page;mso-position-vertical-relative:page;z-index:-251642880;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GloyybaAQAA4gMAAA4AAABkcnMvZTJvRG9jLnhtbK1T&#10;y47bMAy8F+g/CLo3jtPtA0acPWx2eynaAG0/gJFkW4BeIJU4+ftSdjbdbi85FAZkSiSHnBG1vj95&#10;J44GycbQynqxlMIEFbUNfSt//Xx691kKyhA0uBhMK8+G5P3m7Zv1mBqzikN02qBgkEDNmFo55Jya&#10;qiI1GA+0iMkEdnYRPWTeYl9phJHRvatWy+XHaoyoE0ZliPh0OzvlBRFvAYxdZ5XZRnXwJuQZFY2D&#10;zJRosInkZuq264zK37uOTBaulcw0TysXYXtf1mqzhqZHSINVlxbglhZecfJgAxe9Qm0hgzig/QfK&#10;W4WRYpcXKvpqJjIpwizq5SttfgyQzMSFpaZ0FZ3+H6z6dtyhsLqVqzspAni+8bperoowY6KG/Q9h&#10;h5cdpR0WlqcOfflz/+I0iXm+imlOWSg+fF9/+iCFenZUf7ISUv5iohfFaKWzoZCEBo5fKXMlDn0O&#10;KccuiPEKBzxxGDQD+8RNU+inVIrO6ifrXEkg7PcPDsUR+NIf78pX6DDsX2GlxhZomOMm1zwOgwH9&#10;GLTI58RqBH4FsnTgDZd1hh9NsRgQmgzW3RLJpV0oCWYayQvNou+saLH2UZ/5Kg4JbT+wLPXUc/Hw&#10;1U/dX8a0zNbLPdsvn+bm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vE8fHZAAAACwEAAA8AAAAA&#10;AAAAAQAgAAAAIgAAAGRycy9kb3ducmV2LnhtbFBLAQIUABQAAAAIAIdO4kBpaMsm2gEAAOIDAAAO&#10;AAAAAAAAAAEAIAAAACgBAABkcnMvZTJvRG9jLnhtbFBLBQYAAAAABgAGAFkBAAB0BQ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4624" behindDoc="1" locked="0" layoutInCell="1" allowOverlap="1">
                <wp:simplePos x="0" y="0"/>
                <wp:positionH relativeFrom="page">
                  <wp:posOffset>6853555</wp:posOffset>
                </wp:positionH>
                <wp:positionV relativeFrom="page">
                  <wp:posOffset>694690</wp:posOffset>
                </wp:positionV>
                <wp:extent cx="0" cy="3175"/>
                <wp:effectExtent l="0" t="0" r="0" b="0"/>
                <wp:wrapNone/>
                <wp:docPr id="26" name="1104"/>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04" o:spid="_x0000_s1026" o:spt="20" style="position:absolute;left:0pt;margin-left:539.65pt;margin-top:54.7pt;height:0.25pt;width:0pt;mso-position-horizontal-relative:page;mso-position-vertical-relative:page;z-index:-251641856;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Fnv4xDZAQAA4gMAAA4AAABkcnMvZTJvRG9jLnhtbK1T&#10;TY/TMBC9I/EfLN9pkrIsKGq6h+0uFwSVgB8wtZ3Ekr/kcZv23zN2QlmWSw8okjOeGb+Z9zzePJyt&#10;YScVUXvX8WZVc6ac8FK7oeM/fzy/+8QZJnASjHeq4xeF/GH79s1mCq1a+9EbqSIjEIftFDo+phTa&#10;qkIxKgu48kE5CvY+Wki0jUMlI0yEbk21ruv7avJRhuiFQiTvbg7yBTHeAuj7Xgu18+JolUszalQG&#10;ElHCUQfk29Jt3yuRvvU9qsRMx4lpKisVIfuQ12q7gXaIEEYtlhbglhZecbKgHRW9Qu0gATtG/Q+U&#10;1SJ69H1aCW+rmUhRhFg09Sttvo8QVOFCUmO4io7/D1Z8Pe0j07Lj63vOHFi68aap77IwU8CW4o9u&#10;H5cdhn3MLM99tPlP/bNzEfNyFVOdExOzU5D3ffPxQwar/pwKEdNn5S3LRseNdpkktHD6gmlO/Z2S&#10;3caxacFhAmjiopOcCRuoaXRDOYreaPmsjckHMA6HRxPZCejSn+7yt3TwV1qusQMc57wSymnQjgrk&#10;k5MsXQKp4egV8NyBVVTWKHo02SqZCbS5JZPIG5ehVRnJhWbWd1Y0WwcvL3QVxxD1MJIsTek5R+jq&#10;i37LmObZerkn++XT3P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Fnv4xDZAQAA4gMAAA4A&#10;AAAAAAAAAQAgAAAAKAEAAGRycy9lMm9Eb2MueG1sUEsFBgAAAAAGAAYAWQEAAHMFAAAAAA==&#10;">
                <v:fill on="f" focussize="0,0"/>
                <v:stroke weight="0.25pt" color="#E4E4E4" joinstyle="round" endcap="round"/>
                <v:imagedata o:title=""/>
                <o:lock v:ext="edit" aspectratio="f"/>
              </v:line>
            </w:pict>
          </mc:Fallback>
        </mc:AlternateContent>
      </w:r>
    </w:p>
    <w:p w14:paraId="1472FC08">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负责人明确需要澄清的其他问题。</w:t>
      </w:r>
    </w:p>
    <w:p w14:paraId="65D382FD">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明确评审组的工作场所、工作条件以及联络与配合人员。</w:t>
      </w:r>
    </w:p>
    <w:p w14:paraId="41DBD77E">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评审组长代表评审组做出客观、公正、保密的承诺。</w:t>
      </w:r>
    </w:p>
    <w:p w14:paraId="07BEEAF6">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申请单位应与评审人员共同签署《审查评价公约》，并遵守《审查评价公约》相关要求。</w:t>
      </w:r>
    </w:p>
    <w:p w14:paraId="083A859F">
      <w:pPr>
        <w:autoSpaceDE w:val="0"/>
        <w:autoSpaceDN w:val="0"/>
        <w:snapToGrid w:val="0"/>
        <w:spacing w:line="360" w:lineRule="auto"/>
        <w:ind w:firstLine="592" w:firstLineChars="200"/>
        <w:jc w:val="both"/>
        <w:outlineLvl w:val="1"/>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val="en-US" w:eastAsia="zh-CN"/>
        </w:rPr>
        <w:t>就申请延续或增项的单位，在上一周期内有无超范围检验的情况，是否有与许可项目相关的行政处罚、责任事故等情况陈述意见，并</w:t>
      </w:r>
      <w:r>
        <w:rPr>
          <w:rFonts w:hint="default" w:ascii="Times New Roman" w:hAnsi="Times New Roman" w:eastAsia="国标宋体" w:cs="Times New Roman"/>
          <w:color w:val="auto"/>
          <w:spacing w:val="8"/>
          <w:sz w:val="28"/>
          <w:szCs w:val="28"/>
        </w:rPr>
        <w:t>提出安全监察的有关要求。</w:t>
      </w:r>
    </w:p>
    <w:p w14:paraId="1F1DF88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5.6 </w:t>
      </w:r>
      <w:r>
        <w:rPr>
          <w:rFonts w:hint="default" w:ascii="Times New Roman" w:hAnsi="Times New Roman" w:eastAsia="国标宋体" w:cs="Times New Roman"/>
          <w:color w:val="auto"/>
          <w:spacing w:val="8"/>
          <w:sz w:val="28"/>
          <w:szCs w:val="28"/>
          <w:lang w:eastAsia="zh-CN"/>
        </w:rPr>
        <w:t>现场</w:t>
      </w:r>
      <w:r>
        <w:rPr>
          <w:rFonts w:hint="default" w:ascii="Times New Roman" w:hAnsi="Times New Roman" w:eastAsia="国标宋体" w:cs="Times New Roman"/>
          <w:color w:val="auto"/>
          <w:spacing w:val="8"/>
          <w:sz w:val="28"/>
          <w:szCs w:val="28"/>
        </w:rPr>
        <w:t>巡视</w:t>
      </w:r>
    </w:p>
    <w:p w14:paraId="4A9433CC">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首次会议结束后，评审组巡视</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办公和检验场所（如办公</w:t>
      </w:r>
      <w:r>
        <w:rPr>
          <w:rFonts w:hint="default" w:ascii="Times New Roman" w:hAnsi="Times New Roman" w:eastAsia="国标宋体" w:cs="Times New Roman"/>
          <w:color w:val="auto"/>
          <w:spacing w:val="8"/>
          <w:sz w:val="28"/>
          <w:szCs w:val="28"/>
          <w:lang w:eastAsia="zh-CN"/>
        </w:rPr>
        <w:t>场所</w:t>
      </w:r>
      <w:r>
        <w:rPr>
          <w:rFonts w:hint="default" w:ascii="Times New Roman" w:hAnsi="Times New Roman" w:eastAsia="国标宋体" w:cs="Times New Roman"/>
          <w:color w:val="auto"/>
          <w:spacing w:val="8"/>
          <w:sz w:val="28"/>
          <w:szCs w:val="28"/>
        </w:rPr>
        <w:t>、档案室、</w:t>
      </w:r>
      <w:r>
        <w:rPr>
          <w:rFonts w:hint="default" w:ascii="Times New Roman" w:hAnsi="Times New Roman" w:eastAsia="国标宋体" w:cs="Times New Roman"/>
          <w:color w:val="auto"/>
          <w:spacing w:val="8"/>
          <w:sz w:val="28"/>
          <w:szCs w:val="28"/>
          <w:lang w:eastAsia="zh-CN"/>
        </w:rPr>
        <w:t>仪器设备室</w:t>
      </w:r>
      <w:r>
        <w:rPr>
          <w:rFonts w:hint="default" w:ascii="Times New Roman" w:hAnsi="Times New Roman" w:eastAsia="国标宋体" w:cs="Times New Roman"/>
          <w:color w:val="auto"/>
          <w:spacing w:val="8"/>
          <w:sz w:val="28"/>
          <w:szCs w:val="28"/>
        </w:rPr>
        <w:t>、检验场地及检验、检测仪器设备等）。</w:t>
      </w:r>
    </w:p>
    <w:p w14:paraId="22CA9322">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 分组审查</w:t>
      </w:r>
    </w:p>
    <w:p w14:paraId="7737EB08">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5.7.1 资源条件</w:t>
      </w:r>
    </w:p>
    <w:p w14:paraId="474A6C90">
      <w:pPr>
        <w:autoSpaceDE w:val="0"/>
        <w:autoSpaceDN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资源条件组依</w:t>
      </w:r>
      <w:r>
        <w:rPr>
          <w:rFonts w:hint="default" w:ascii="Times New Roman" w:hAnsi="Times New Roman" w:eastAsia="国标宋体" w:cs="Times New Roman"/>
          <w:color w:val="auto"/>
          <w:spacing w:val="3"/>
          <w:sz w:val="28"/>
          <w:szCs w:val="28"/>
        </w:rPr>
        <w:t>据</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核准规则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val="en-US" w:eastAsia="zh-CN"/>
        </w:rPr>
        <w:t>及相关安全技术规范及标准</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资源条件</w:t>
      </w:r>
      <w:r>
        <w:rPr>
          <w:rFonts w:hint="default" w:ascii="Times New Roman" w:hAnsi="Times New Roman" w:eastAsia="国标宋体" w:cs="Times New Roman"/>
          <w:color w:val="auto"/>
          <w:spacing w:val="3"/>
          <w:sz w:val="28"/>
          <w:szCs w:val="28"/>
        </w:rPr>
        <w:t>进</w:t>
      </w:r>
      <w:r>
        <w:rPr>
          <w:rFonts w:hint="default" w:ascii="Times New Roman" w:hAnsi="Times New Roman" w:eastAsia="国标宋体" w:cs="Times New Roman"/>
          <w:color w:val="auto"/>
          <w:sz w:val="28"/>
          <w:szCs w:val="28"/>
        </w:rPr>
        <w:t>行评审，评审的内容包</w:t>
      </w:r>
      <w:r>
        <w:rPr>
          <w:rFonts w:hint="default" w:ascii="Times New Roman" w:hAnsi="Times New Roman" w:eastAsia="国标宋体" w:cs="Times New Roman"/>
          <w:color w:val="auto"/>
          <w:spacing w:val="3"/>
          <w:sz w:val="28"/>
          <w:szCs w:val="28"/>
        </w:rPr>
        <w:t>括</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的法律地位、人员、仪器设备、场地与设施等。评审方法包括查阅见证、查看实物、交谈、观察所涉及领域的活动等</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pacing w:val="8"/>
          <w:sz w:val="28"/>
          <w:szCs w:val="28"/>
        </w:rPr>
        <w:t>需要审查、</w:t>
      </w:r>
      <w:r>
        <w:rPr>
          <w:rFonts w:hint="default" w:ascii="Times New Roman" w:hAnsi="Times New Roman" w:eastAsia="国标宋体" w:cs="Times New Roman"/>
          <w:color w:val="auto"/>
          <w:spacing w:val="8"/>
          <w:sz w:val="28"/>
          <w:szCs w:val="28"/>
          <w:lang w:eastAsia="zh-CN"/>
        </w:rPr>
        <w:t>核实</w:t>
      </w:r>
      <w:r>
        <w:rPr>
          <w:rFonts w:hint="default" w:ascii="Times New Roman" w:hAnsi="Times New Roman" w:eastAsia="国标宋体" w:cs="Times New Roman"/>
          <w:color w:val="auto"/>
          <w:sz w:val="28"/>
          <w:szCs w:val="28"/>
          <w:lang w:val="en-US" w:eastAsia="zh-CN"/>
        </w:rPr>
        <w:t>的资料详见附录A</w:t>
      </w:r>
      <w:r>
        <w:rPr>
          <w:rFonts w:hint="default" w:ascii="Times New Roman" w:hAnsi="Times New Roman" w:eastAsia="国标宋体" w:cs="Times New Roman"/>
          <w:color w:val="auto"/>
          <w:sz w:val="28"/>
          <w:szCs w:val="28"/>
        </w:rPr>
        <w:t>。</w:t>
      </w:r>
    </w:p>
    <w:p w14:paraId="3EB46070">
      <w:pPr>
        <w:autoSpaceDE w:val="0"/>
        <w:autoSpaceDN w:val="0"/>
        <w:snapToGrid w:val="0"/>
        <w:spacing w:line="360" w:lineRule="auto"/>
        <w:ind w:firstLine="560"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z w:val="28"/>
          <w:szCs w:val="28"/>
        </w:rPr>
        <w:t>资源条件组</w:t>
      </w:r>
      <w:r>
        <w:rPr>
          <w:rFonts w:hint="default" w:ascii="Times New Roman" w:hAnsi="Times New Roman" w:eastAsia="国标宋体" w:cs="Times New Roman"/>
          <w:color w:val="auto"/>
          <w:spacing w:val="8"/>
          <w:sz w:val="28"/>
          <w:szCs w:val="28"/>
        </w:rPr>
        <w:t>通过座谈、现场跟踪、查阅相关见证等方式，对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负责人、质量负责人、技术负责人、责任师、检验检测人员的能力进行考察、评价。在现场评审期间，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11720689">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责任师、其他</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p>
    <w:p w14:paraId="29098084">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人员总数的50%（首次核准的，不低于70%）</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持证检验人员总人数低于10人的应全部在场</w:t>
      </w:r>
      <w:r>
        <w:rPr>
          <w:rFonts w:hint="default" w:ascii="Times New Roman" w:hAnsi="Times New Roman" w:eastAsia="国标宋体" w:cs="Times New Roman"/>
          <w:color w:val="auto"/>
          <w:spacing w:val="8"/>
          <w:sz w:val="28"/>
          <w:szCs w:val="28"/>
        </w:rPr>
        <w:t>。</w:t>
      </w:r>
    </w:p>
    <w:p w14:paraId="7340EBD0">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增项核准的，在现场评审期间，</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应确保</w:t>
      </w:r>
      <w:r>
        <w:rPr>
          <w:rFonts w:hint="default" w:ascii="Times New Roman" w:hAnsi="Times New Roman" w:eastAsia="国标宋体" w:cs="Times New Roman"/>
          <w:color w:val="auto"/>
          <w:spacing w:val="8"/>
          <w:sz w:val="28"/>
          <w:szCs w:val="28"/>
          <w:lang w:eastAsia="zh-CN"/>
        </w:rPr>
        <w:t>：</w:t>
      </w:r>
    </w:p>
    <w:p w14:paraId="6681B1A1">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1.申请单位</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、技术负责人、质量负责人以及与增项项目相关的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责任师和</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能力验证所涉及的</w:t>
      </w:r>
      <w:r>
        <w:rPr>
          <w:rFonts w:hint="default" w:ascii="Times New Roman" w:hAnsi="Times New Roman" w:eastAsia="国标宋体" w:cs="Times New Roman"/>
          <w:color w:val="auto"/>
          <w:spacing w:val="8"/>
          <w:sz w:val="28"/>
          <w:szCs w:val="28"/>
          <w:lang w:val="en-US" w:eastAsia="zh-CN"/>
        </w:rPr>
        <w:t>持证检验</w:t>
      </w:r>
      <w:r>
        <w:rPr>
          <w:rFonts w:hint="default" w:ascii="Times New Roman" w:hAnsi="Times New Roman" w:eastAsia="国标宋体" w:cs="Times New Roman"/>
          <w:color w:val="auto"/>
          <w:spacing w:val="8"/>
          <w:sz w:val="28"/>
          <w:szCs w:val="28"/>
        </w:rPr>
        <w:t>人员在评审现场</w:t>
      </w:r>
      <w:r>
        <w:rPr>
          <w:rFonts w:hint="default" w:ascii="Times New Roman" w:hAnsi="Times New Roman" w:eastAsia="国标宋体" w:cs="Times New Roman"/>
          <w:color w:val="auto"/>
          <w:spacing w:val="8"/>
          <w:sz w:val="28"/>
          <w:szCs w:val="28"/>
          <w:lang w:eastAsia="zh-CN"/>
        </w:rPr>
        <w:t>；</w:t>
      </w:r>
    </w:p>
    <w:p w14:paraId="54D1720B">
      <w:pPr>
        <w:numPr>
          <w:ilvl w:val="-1"/>
          <w:numId w:val="0"/>
        </w:num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rPr>
        <w:t>在评审现场的增项</w:t>
      </w:r>
      <w:r>
        <w:rPr>
          <w:rFonts w:hint="default" w:ascii="Times New Roman" w:hAnsi="Times New Roman" w:eastAsia="国标宋体" w:cs="Times New Roman"/>
          <w:color w:val="auto"/>
          <w:spacing w:val="8"/>
          <w:sz w:val="28"/>
          <w:szCs w:val="28"/>
          <w:lang w:val="en-US" w:eastAsia="zh-CN"/>
        </w:rPr>
        <w:t>项目持证检验</w:t>
      </w:r>
      <w:r>
        <w:rPr>
          <w:rFonts w:hint="default" w:ascii="Times New Roman" w:hAnsi="Times New Roman" w:eastAsia="国标宋体" w:cs="Times New Roman"/>
          <w:color w:val="auto"/>
          <w:spacing w:val="8"/>
          <w:sz w:val="28"/>
          <w:szCs w:val="28"/>
        </w:rPr>
        <w:t>人员不得低于</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rPr>
        <w:t>机构增项</w:t>
      </w:r>
      <w:r>
        <w:rPr>
          <w:rFonts w:hint="default" w:ascii="Times New Roman" w:hAnsi="Times New Roman" w:eastAsia="国标宋体" w:cs="Times New Roman"/>
          <w:color w:val="auto"/>
          <w:spacing w:val="8"/>
          <w:sz w:val="28"/>
          <w:szCs w:val="28"/>
          <w:lang w:val="en-US" w:eastAsia="zh-CN"/>
        </w:rPr>
        <w:t>项目总持证检验</w:t>
      </w:r>
      <w:r>
        <w:rPr>
          <w:rFonts w:hint="default" w:ascii="Times New Roman" w:hAnsi="Times New Roman" w:eastAsia="国标宋体" w:cs="Times New Roman"/>
          <w:color w:val="auto"/>
          <w:spacing w:val="8"/>
          <w:sz w:val="28"/>
          <w:szCs w:val="28"/>
        </w:rPr>
        <w:t>人员总数的</w:t>
      </w:r>
      <w:r>
        <w:rPr>
          <w:rFonts w:hint="default" w:ascii="Times New Roman" w:hAnsi="Times New Roman" w:eastAsia="国标宋体" w:cs="Times New Roman"/>
          <w:color w:val="auto"/>
          <w:spacing w:val="8"/>
          <w:sz w:val="28"/>
          <w:szCs w:val="28"/>
          <w:lang w:val="en-US" w:eastAsia="zh-CN"/>
        </w:rPr>
        <w:t>7</w:t>
      </w:r>
      <w:r>
        <w:rPr>
          <w:rFonts w:hint="default" w:ascii="Times New Roman" w:hAnsi="Times New Roman" w:eastAsia="国标宋体" w:cs="Times New Roman"/>
          <w:color w:val="auto"/>
          <w:spacing w:val="8"/>
          <w:sz w:val="28"/>
          <w:szCs w:val="28"/>
        </w:rPr>
        <w:t>0%</w:t>
      </w:r>
      <w:r>
        <w:rPr>
          <w:rFonts w:hint="default"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lang w:eastAsia="zh-CN"/>
        </w:rPr>
        <w:t>。</w:t>
      </w:r>
    </w:p>
    <w:p w14:paraId="0E7EFB44">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因无法克服的原因不能满足上述要求的，应当在与</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协商鉴定评审计划之前，向</w:t>
      </w:r>
      <w:r>
        <w:rPr>
          <w:rFonts w:hint="default" w:ascii="Times New Roman" w:hAnsi="Times New Roman" w:eastAsia="国标宋体" w:cs="Times New Roman"/>
          <w:color w:val="auto"/>
          <w:spacing w:val="8"/>
          <w:sz w:val="28"/>
          <w:szCs w:val="28"/>
          <w:lang w:val="en-US" w:eastAsia="zh-CN"/>
        </w:rPr>
        <w:t>省质量审评中心</w:t>
      </w:r>
      <w:r>
        <w:rPr>
          <w:rFonts w:hint="default" w:ascii="Times New Roman" w:hAnsi="Times New Roman" w:eastAsia="国标宋体" w:cs="Times New Roman"/>
          <w:color w:val="auto"/>
          <w:spacing w:val="8"/>
          <w:sz w:val="28"/>
          <w:szCs w:val="28"/>
        </w:rPr>
        <w:t>提交</w:t>
      </w:r>
      <w:r>
        <w:rPr>
          <w:rFonts w:hint="default" w:ascii="Times New Roman" w:hAnsi="Times New Roman" w:eastAsia="国标宋体" w:cs="Times New Roman"/>
          <w:color w:val="auto"/>
          <w:spacing w:val="8"/>
          <w:sz w:val="28"/>
          <w:szCs w:val="28"/>
          <w:lang w:eastAsia="zh-CN"/>
        </w:rPr>
        <w:t>《检验人员不能到场参加现场评审的情况说明》</w:t>
      </w:r>
      <w:r>
        <w:rPr>
          <w:rFonts w:hint="default" w:ascii="Times New Roman" w:hAnsi="Times New Roman" w:eastAsia="国标宋体" w:cs="Times New Roman"/>
          <w:color w:val="auto"/>
          <w:spacing w:val="8"/>
          <w:sz w:val="28"/>
          <w:szCs w:val="28"/>
        </w:rPr>
        <w:t>（内容至少包括人员姓名、身份证号、持证项目、不能到场原因等），得到批准后方可安排评审计划</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临时提交的说明</w:t>
      </w:r>
      <w:r>
        <w:rPr>
          <w:rFonts w:hint="default" w:ascii="Times New Roman" w:hAnsi="Times New Roman" w:eastAsia="国标宋体" w:cs="Times New Roman"/>
          <w:color w:val="auto"/>
          <w:spacing w:val="8"/>
          <w:sz w:val="28"/>
          <w:szCs w:val="28"/>
          <w:lang w:eastAsia="zh-CN"/>
        </w:rPr>
        <w:t>不予</w:t>
      </w:r>
      <w:r>
        <w:rPr>
          <w:rFonts w:hint="default" w:ascii="Times New Roman" w:hAnsi="Times New Roman" w:eastAsia="国标宋体" w:cs="Times New Roman"/>
          <w:color w:val="auto"/>
          <w:spacing w:val="8"/>
          <w:sz w:val="28"/>
          <w:szCs w:val="28"/>
        </w:rPr>
        <w:t>认可</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其中，</w:t>
      </w:r>
      <w:r>
        <w:rPr>
          <w:rFonts w:hint="eastAsia" w:eastAsia="国标宋体" w:cs="Times New Roman"/>
          <w:color w:val="auto"/>
          <w:spacing w:val="8"/>
          <w:sz w:val="28"/>
          <w:szCs w:val="28"/>
          <w:lang w:eastAsia="zh-CN"/>
        </w:rPr>
        <w:t>法定代表人</w:t>
      </w:r>
      <w:r>
        <w:rPr>
          <w:rFonts w:hint="default" w:ascii="Times New Roman" w:hAnsi="Times New Roman" w:eastAsia="国标宋体" w:cs="Times New Roman"/>
          <w:color w:val="auto"/>
          <w:spacing w:val="8"/>
          <w:sz w:val="28"/>
          <w:szCs w:val="28"/>
        </w:rPr>
        <w:t>/主要负责人必须到场</w:t>
      </w:r>
      <w:r>
        <w:rPr>
          <w:rFonts w:hint="default" w:ascii="Times New Roman" w:hAnsi="Times New Roman"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rPr>
        <w:t>如果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未</w:t>
      </w:r>
      <w:r>
        <w:rPr>
          <w:rFonts w:hint="default" w:ascii="Times New Roman" w:hAnsi="Times New Roman" w:eastAsia="国标宋体" w:cs="Times New Roman"/>
          <w:color w:val="auto"/>
          <w:spacing w:val="8"/>
          <w:sz w:val="28"/>
          <w:szCs w:val="28"/>
          <w:lang w:eastAsia="zh-CN"/>
        </w:rPr>
        <w:t>按规定</w:t>
      </w:r>
      <w:r>
        <w:rPr>
          <w:rFonts w:hint="default" w:ascii="Times New Roman" w:hAnsi="Times New Roman" w:eastAsia="国标宋体" w:cs="Times New Roman"/>
          <w:color w:val="auto"/>
          <w:spacing w:val="8"/>
          <w:sz w:val="28"/>
          <w:szCs w:val="28"/>
        </w:rPr>
        <w:t>提出申请或申请未得到批准，且在现场评审时到场人员未达到上述要求的，则</w:t>
      </w:r>
      <w:r>
        <w:rPr>
          <w:rFonts w:hint="default" w:ascii="Times New Roman" w:hAnsi="Times New Roman" w:eastAsia="国标宋体" w:cs="Times New Roman"/>
          <w:color w:val="auto"/>
          <w:spacing w:val="8"/>
          <w:sz w:val="28"/>
          <w:szCs w:val="28"/>
          <w:lang w:val="en-US" w:eastAsia="zh-CN"/>
        </w:rPr>
        <w:t>终止</w:t>
      </w:r>
      <w:r>
        <w:rPr>
          <w:rFonts w:hint="default" w:ascii="Times New Roman" w:hAnsi="Times New Roman" w:eastAsia="国标宋体" w:cs="Times New Roman"/>
          <w:color w:val="auto"/>
          <w:spacing w:val="8"/>
          <w:sz w:val="28"/>
          <w:szCs w:val="28"/>
        </w:rPr>
        <w:t>现场评审，由此引起的一切后果，均由</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承担。</w:t>
      </w:r>
    </w:p>
    <w:p w14:paraId="711ECC95">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5.7.2 质量管理体系</w:t>
      </w:r>
    </w:p>
    <w:p w14:paraId="55CEDBC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质量管理体系组依据《</w:t>
      </w:r>
      <w:r>
        <w:rPr>
          <w:rFonts w:hint="default" w:ascii="Times New Roman" w:hAnsi="Times New Roman" w:eastAsia="国标宋体" w:cs="Times New Roman"/>
          <w:color w:val="auto"/>
          <w:spacing w:val="8"/>
          <w:sz w:val="28"/>
          <w:szCs w:val="28"/>
          <w:lang w:val="en-US" w:eastAsia="zh-CN"/>
        </w:rPr>
        <w:t>核准规则</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val="en-US" w:eastAsia="zh-CN"/>
        </w:rPr>
        <w:t>附件F的要求</w:t>
      </w:r>
      <w:r>
        <w:rPr>
          <w:rFonts w:hint="default" w:ascii="Times New Roman" w:hAnsi="Times New Roman" w:eastAsia="国标宋体" w:cs="Times New Roman"/>
          <w:color w:val="auto"/>
          <w:spacing w:val="8"/>
          <w:sz w:val="28"/>
          <w:szCs w:val="28"/>
        </w:rPr>
        <w:t>，对</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质量管理体系的建立、实施与持续有效运行情况进行评审。通过查阅质量管理体系文件、实施见证、与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沟通交流、与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特种设备监督管理部门进行交流等方式，评审质量管理体系的建立与实施情况</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的材料</w:t>
      </w:r>
      <w:r>
        <w:rPr>
          <w:rFonts w:hint="default" w:ascii="Times New Roman" w:hAnsi="Times New Roman" w:eastAsia="国标宋体" w:cs="Times New Roman"/>
          <w:color w:val="auto"/>
          <w:sz w:val="28"/>
          <w:szCs w:val="28"/>
          <w:lang w:val="en-US" w:eastAsia="zh-CN"/>
        </w:rPr>
        <w:t>详见附录B</w:t>
      </w:r>
      <w:r>
        <w:rPr>
          <w:rFonts w:hint="default" w:ascii="Times New Roman" w:hAnsi="Times New Roman" w:eastAsia="国标宋体" w:cs="Times New Roman"/>
          <w:color w:val="auto"/>
          <w:sz w:val="28"/>
          <w:szCs w:val="28"/>
        </w:rPr>
        <w:t>。</w:t>
      </w:r>
    </w:p>
    <w:p w14:paraId="4C5E4A7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5.7.3 </w:t>
      </w:r>
      <w:r>
        <w:rPr>
          <w:rFonts w:hint="default" w:ascii="Times New Roman" w:hAnsi="Times New Roman" w:eastAsia="国标宋体" w:cs="Times New Roman"/>
          <w:color w:val="auto"/>
          <w:sz w:val="28"/>
          <w:szCs w:val="28"/>
          <w:lang w:eastAsia="zh-CN"/>
        </w:rPr>
        <w:t>检验能力</w:t>
      </w:r>
    </w:p>
    <w:p w14:paraId="3DEA0A7C">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5.7.3.1 </w:t>
      </w:r>
      <w:r>
        <w:rPr>
          <w:rFonts w:hint="default" w:ascii="Times New Roman" w:hAnsi="Times New Roman" w:eastAsia="国标宋体" w:cs="Times New Roman"/>
          <w:color w:val="auto"/>
          <w:spacing w:val="8"/>
          <w:kern w:val="0"/>
          <w:sz w:val="28"/>
          <w:szCs w:val="28"/>
          <w:lang w:val="en-US" w:eastAsia="zh-CN"/>
        </w:rPr>
        <w:t>申请单位应当具有在核准范围内开展检验工作的能力。</w:t>
      </w:r>
      <w:r>
        <w:rPr>
          <w:rFonts w:hint="default" w:ascii="Times New Roman" w:hAnsi="Times New Roman" w:eastAsia="国标宋体" w:cs="Times New Roman"/>
          <w:color w:val="auto"/>
          <w:sz w:val="28"/>
          <w:szCs w:val="28"/>
          <w:lang w:eastAsia="zh-CN"/>
        </w:rPr>
        <w:t>检验能力</w:t>
      </w:r>
      <w:r>
        <w:rPr>
          <w:rFonts w:hint="default" w:ascii="Times New Roman" w:hAnsi="Times New Roman" w:eastAsia="国标宋体" w:cs="Times New Roman"/>
          <w:color w:val="auto"/>
          <w:sz w:val="28"/>
          <w:szCs w:val="28"/>
        </w:rPr>
        <w:t>组根据</w:t>
      </w:r>
      <w:r>
        <w:rPr>
          <w:rFonts w:hint="default" w:ascii="Times New Roman" w:hAnsi="Times New Roman" w:eastAsia="国标宋体" w:cs="Times New Roman"/>
          <w:color w:val="auto"/>
          <w:sz w:val="28"/>
          <w:szCs w:val="28"/>
          <w:lang w:eastAsia="zh-CN"/>
        </w:rPr>
        <w:t>相应的检验</w:t>
      </w:r>
      <w:r>
        <w:rPr>
          <w:rFonts w:hint="default" w:ascii="Times New Roman" w:hAnsi="Times New Roman" w:eastAsia="国标宋体" w:cs="Times New Roman"/>
          <w:color w:val="auto"/>
          <w:spacing w:val="8"/>
          <w:sz w:val="28"/>
          <w:szCs w:val="28"/>
          <w:lang w:eastAsia="zh-CN"/>
        </w:rPr>
        <w:t>规</w:t>
      </w:r>
      <w:r>
        <w:rPr>
          <w:rFonts w:hint="eastAsia" w:ascii="Times New Roman" w:hAnsi="Times New Roman" w:eastAsia="国标宋体" w:cs="Times New Roman"/>
          <w:color w:val="auto"/>
          <w:spacing w:val="8"/>
          <w:sz w:val="28"/>
          <w:szCs w:val="28"/>
          <w:lang w:eastAsia="zh-CN"/>
        </w:rPr>
        <w:t>范和</w:t>
      </w:r>
      <w:r>
        <w:rPr>
          <w:rFonts w:hint="default" w:ascii="Times New Roman" w:hAnsi="Times New Roman" w:eastAsia="国标宋体" w:cs="Times New Roman"/>
          <w:color w:val="auto"/>
          <w:spacing w:val="8"/>
          <w:sz w:val="28"/>
          <w:szCs w:val="28"/>
          <w:lang w:eastAsia="zh-CN"/>
        </w:rPr>
        <w:t>标准要求</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的检验工作质量及检验能力进行审查</w:t>
      </w:r>
      <w:r>
        <w:rPr>
          <w:rFonts w:hint="default" w:ascii="Times New Roman" w:hAnsi="Times New Roman" w:eastAsia="国标宋体" w:cs="Times New Roman"/>
          <w:color w:val="auto"/>
          <w:sz w:val="28"/>
          <w:szCs w:val="28"/>
          <w:lang w:val="en-US" w:eastAsia="zh-CN"/>
        </w:rPr>
        <w:t>，</w:t>
      </w:r>
      <w:r>
        <w:rPr>
          <w:rFonts w:hint="default" w:ascii="Times New Roman" w:hAnsi="Times New Roman" w:eastAsia="国标宋体" w:cs="Times New Roman"/>
          <w:color w:val="auto"/>
          <w:sz w:val="28"/>
          <w:szCs w:val="28"/>
        </w:rPr>
        <w:t>检验能力审查程序及要求</w:t>
      </w:r>
      <w:r>
        <w:rPr>
          <w:rFonts w:hint="default" w:ascii="Times New Roman" w:hAnsi="Times New Roman" w:eastAsia="国标宋体" w:cs="Times New Roman"/>
          <w:color w:val="auto"/>
          <w:sz w:val="28"/>
          <w:szCs w:val="28"/>
          <w:lang w:val="en-US" w:eastAsia="zh-CN"/>
        </w:rPr>
        <w:t>详见附录C。</w:t>
      </w:r>
    </w:p>
    <w:p w14:paraId="51FB1238">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5.7.3.2 检验能力的审查可采取报告评价、跟踪检验过程或者采信能力验证结果等方式</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将根据</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的实际情况在评审通知函中确定每个申请项目的检验能力审查方式。</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应及时准备好相关的材料。</w:t>
      </w:r>
    </w:p>
    <w:p w14:paraId="523857AE">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5.7.3.3 申请首次</w:t>
      </w:r>
      <w:r>
        <w:rPr>
          <w:rFonts w:hint="default" w:ascii="Times New Roman" w:hAnsi="Times New Roman" w:eastAsia="国标宋体" w:cs="Times New Roman"/>
          <w:color w:val="auto"/>
          <w:sz w:val="28"/>
          <w:szCs w:val="28"/>
          <w:lang w:val="en-US" w:eastAsia="zh-CN"/>
        </w:rPr>
        <w:t>/增项</w:t>
      </w:r>
      <w:r>
        <w:rPr>
          <w:rFonts w:hint="default" w:ascii="Times New Roman" w:hAnsi="Times New Roman" w:eastAsia="国标宋体" w:cs="Times New Roman"/>
          <w:color w:val="auto"/>
          <w:sz w:val="28"/>
          <w:szCs w:val="28"/>
        </w:rPr>
        <w:t>核准项目的，应当独立完成申请核准项目跟踪检验过程的试检验工作，试检验工作应当能够验证申请单位具备申请核准范围内的检验能力。</w:t>
      </w:r>
    </w:p>
    <w:p w14:paraId="0FF6301A">
      <w:pPr>
        <w:numPr>
          <w:ilvl w:val="255"/>
          <w:numId w:val="0"/>
        </w:numPr>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5.7.3.</w:t>
      </w:r>
      <w:r>
        <w:rPr>
          <w:rFonts w:hint="default" w:ascii="Times New Roman" w:hAnsi="Times New Roman" w:eastAsia="国标宋体" w:cs="Times New Roman"/>
          <w:color w:val="auto"/>
          <w:sz w:val="28"/>
          <w:szCs w:val="28"/>
          <w:lang w:val="en-US" w:eastAsia="zh-CN"/>
        </w:rPr>
        <w:t>4 申请</w:t>
      </w:r>
      <w:r>
        <w:rPr>
          <w:rFonts w:hint="default" w:ascii="Times New Roman" w:hAnsi="Times New Roman" w:eastAsia="国标宋体" w:cs="Times New Roman"/>
          <w:color w:val="auto"/>
          <w:sz w:val="28"/>
          <w:szCs w:val="28"/>
        </w:rPr>
        <w:t>延续核准的，在上一周期内，评审组应</w:t>
      </w:r>
      <w:r>
        <w:rPr>
          <w:rFonts w:hint="eastAsia"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kern w:val="0"/>
          <w:sz w:val="28"/>
          <w:szCs w:val="28"/>
          <w:lang w:val="en-US" w:eastAsia="zh-CN"/>
        </w:rPr>
        <w:t>每年</w:t>
      </w:r>
      <w:r>
        <w:rPr>
          <w:rFonts w:hint="default" w:ascii="Times New Roman" w:hAnsi="Times New Roman" w:eastAsia="国标宋体" w:cs="Times New Roman"/>
          <w:color w:val="auto"/>
          <w:sz w:val="28"/>
          <w:szCs w:val="28"/>
        </w:rPr>
        <w:t>相应检验项目的检验业绩</w:t>
      </w:r>
      <w:r>
        <w:rPr>
          <w:rFonts w:hint="default" w:ascii="Times New Roman" w:hAnsi="Times New Roman" w:eastAsia="国标宋体" w:cs="Times New Roman"/>
          <w:color w:val="auto"/>
          <w:sz w:val="28"/>
          <w:szCs w:val="28"/>
          <w:lang w:eastAsia="zh-CN"/>
        </w:rPr>
        <w:t>。</w:t>
      </w:r>
    </w:p>
    <w:p w14:paraId="2148C296">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 情况汇总和交换意见</w:t>
      </w:r>
    </w:p>
    <w:p w14:paraId="18803E29">
      <w:pPr>
        <w:numPr>
          <w:ilvl w:val="255"/>
          <w:numId w:val="0"/>
        </w:num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5.8.1</w:t>
      </w:r>
      <w:r>
        <w:rPr>
          <w:rFonts w:hint="eastAsia" w:eastAsia="国标宋体" w:cs="Times New Roman"/>
          <w:color w:val="auto"/>
          <w:spacing w:val="8"/>
          <w:sz w:val="28"/>
          <w:szCs w:val="28"/>
          <w:lang w:eastAsia="zh-CN"/>
        </w:rPr>
        <w:t xml:space="preserve"> 评审组</w:t>
      </w:r>
      <w:r>
        <w:rPr>
          <w:rFonts w:hint="default" w:ascii="Times New Roman" w:hAnsi="Times New Roman" w:eastAsia="国标宋体" w:cs="Times New Roman"/>
          <w:color w:val="auto"/>
          <w:spacing w:val="8"/>
          <w:sz w:val="28"/>
          <w:szCs w:val="28"/>
        </w:rPr>
        <w:t>内部沟通</w:t>
      </w:r>
    </w:p>
    <w:p w14:paraId="76708479">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每日评审工作结束后，评审组应进行内部沟通，小结评审工作情况，必要时可针对具体情况调整工作计划。</w:t>
      </w:r>
    </w:p>
    <w:p w14:paraId="2392122D">
      <w:pPr>
        <w:autoSpaceDE w:val="0"/>
        <w:autoSpaceDN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5.8.2</w:t>
      </w:r>
      <w:r>
        <w:rPr>
          <w:rFonts w:hint="eastAsia" w:eastAsia="国标宋体" w:cs="Times New Roman"/>
          <w:color w:val="auto"/>
          <w:spacing w:val="8"/>
          <w:sz w:val="28"/>
          <w:szCs w:val="28"/>
          <w:lang w:eastAsia="zh-CN"/>
        </w:rPr>
        <w:t xml:space="preserve"> 与</w:t>
      </w:r>
      <w:r>
        <w:rPr>
          <w:rFonts w:hint="default" w:ascii="Times New Roman" w:hAnsi="Times New Roman" w:eastAsia="国标宋体" w:cs="Times New Roman"/>
          <w:color w:val="auto"/>
          <w:spacing w:val="8"/>
          <w:sz w:val="28"/>
          <w:szCs w:val="28"/>
        </w:rPr>
        <w:t>特种设备监督管理部门及</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沟通</w:t>
      </w:r>
    </w:p>
    <w:p w14:paraId="37F6B135">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评审组内部合议后，评审组成员、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（如需）</w:t>
      </w:r>
      <w:r>
        <w:rPr>
          <w:rFonts w:hint="default" w:ascii="Times New Roman" w:hAnsi="Times New Roman" w:eastAsia="国标宋体" w:cs="Times New Roman"/>
          <w:color w:val="auto"/>
          <w:spacing w:val="8"/>
          <w:sz w:val="28"/>
          <w:szCs w:val="28"/>
        </w:rPr>
        <w:t>和</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有关领导交流评审</w: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5648" behindDoc="1" locked="0" layoutInCell="1" allowOverlap="1">
                <wp:simplePos x="0" y="0"/>
                <wp:positionH relativeFrom="page">
                  <wp:posOffset>956945</wp:posOffset>
                </wp:positionH>
                <wp:positionV relativeFrom="page">
                  <wp:posOffset>679450</wp:posOffset>
                </wp:positionV>
                <wp:extent cx="3175" cy="0"/>
                <wp:effectExtent l="4445" t="4445" r="5080" b="5080"/>
                <wp:wrapNone/>
                <wp:docPr id="27" name="1117"/>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17" o:spid="_x0000_s1026" o:spt="20" style="position:absolute;left:0pt;margin-left:75.35pt;margin-top:53.5pt;height:0pt;width:0.25pt;mso-position-horizontal-relative:page;mso-position-vertical-relative:page;z-index:-251640832;mso-width-relative:page;mso-height-relative:page;" filled="f" stroked="t" coordsize="21600,21600" o:gfxdata="UEsDBAoAAAAAAIdO4kAAAAAAAAAAAAAAAAAEAAAAZHJzL1BLAwQUAAAACACHTuJARmqgfNYAAAAL&#10;AQAADwAAAGRycy9kb3ducmV2LnhtbE2PT0vDQBDF74LfYRnBi7S7qdRKzKYHJeC1tSK9bbPTJJqd&#10;CdntH7+9UxD0Nm/m8eb3iuU59OqIY+yYLGRTAwqpZt9RY2HzVk0eQcXkyLueCS18Y4RleX1VuNzz&#10;iVZ4XKdGSQjF3FloUxpyrWPdYnBxygOS3PY8BpdEjo32oztJeOj1zJgHHVxH8qF1Az63WH+tD8HC&#10;9vUjvNPLPderO+509Wn2FW+svb3JzBOohOf0Z4YLvqBDKUw7PpCPqhc9NwuxymAWUurimGczULvf&#10;jS4L/b9D+QNQSwMEFAAAAAgAh07iQJfrRYnaAQAA4gMAAA4AAABkcnMvZTJvRG9jLnhtbK1TTY/T&#10;MBC9I/EfLN9pmiIoipqu0JblgmAllh8wtZ3Ekr804zbtv2ecdMuyXHpAkZyxZ+bNvOfx5u7knTga&#10;JBtDK+vFUgoTVNQ29K389fTw7pMUlCFocDGYVp4Nybvt2zebMTVmFYfotEHBIIGaMbVyyDk1VUVq&#10;MB5oEZMJ7Owiesi8xb7SCCOje1etlsuP1RhRJ4zKEPHpbnbKCyLeAhi7ziqzi+rgTcgzKhoHmSnR&#10;YBPJ7dRt1xmVf3QdmSxcK5lpnlYuwva+rNV2A02PkAarLi3ALS284uTBBi56hdpBBnFA+w+Utwoj&#10;xS4vVPTVTGRShFnUy1fa/BwgmYkLS03pKjr9P1j1/fiIwupWrtZSBPB843Vdr4swY6KG/ffhES87&#10;So9YWJ469OXP/YvTJOb5KqY5ZaH48H29/iCFenZUf7ISUv5qohfFaKWzoZCEBo7fKHMlDn0OKccu&#10;iPEKBzxxGDQD+8RNU+inVIrO6gfrXEkg7Pf3DsUR+NI/r/irCx2G/Sus1NgBDXPc5JrHYTCgvwQt&#10;8jmxGoFfgSwdeMNlneFHUywGhCaDdbdEcmkXSoKZRvJCs+g7K1qsfdRnvopDQtsPLMvcc/Hw1U/d&#10;X8a0zNbLPdsvn+b2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ZqoHzWAAAACwEAAA8AAAAAAAAA&#10;AQAgAAAAIgAAAGRycy9kb3ducmV2LnhtbFBLAQIUABQAAAAIAIdO4kCX60WJ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6672" behindDoc="1" locked="0" layoutInCell="1" allowOverlap="1">
                <wp:simplePos x="0" y="0"/>
                <wp:positionH relativeFrom="page">
                  <wp:posOffset>6853555</wp:posOffset>
                </wp:positionH>
                <wp:positionV relativeFrom="page">
                  <wp:posOffset>678180</wp:posOffset>
                </wp:positionV>
                <wp:extent cx="0" cy="3175"/>
                <wp:effectExtent l="0" t="0" r="0" b="0"/>
                <wp:wrapNone/>
                <wp:docPr id="28" name="1119"/>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19" o:spid="_x0000_s1026" o:spt="20" style="position:absolute;left:0pt;margin-left:539.65pt;margin-top:53.4pt;height:0.25pt;width:0pt;mso-position-horizontal-relative:page;mso-position-vertical-relative:page;z-index:-251639808;mso-width-relative:page;mso-height-relative:page;" filled="f" stroked="t" coordsize="21600,21600" o:gfxdata="UEsDBAoAAAAAAIdO4kAAAAAAAAAAAAAAAAAEAAAAZHJzL1BLAwQUAAAACACHTuJAMDMvWNgAAAAN&#10;AQAADwAAAGRycy9kb3ducmV2LnhtbE1Py07DMBC8I/EP1iJxo3ZbKdAQpwckhISEgLagHt14SVLi&#10;dRQ7fX09m3KA28zOaHYmmx9cI3bYhdqThvFIgUAqvK2p1LBaPt7cgQjRkDWNJ9RwxADz/PIiM6n1&#10;e3rH3SKWgkMopEZDFWObShmKCp0JI98isfblO2ci066UtjN7DneNnCiVSGdq4g+VafGhwuJ70TsN&#10;L+06+ZjMtuunzz4+v8bj1r+tTlpfX43VPYiIh/hnhqE+V4ecO218TzaIhrm6nU3ZO6CERwyW39Pm&#10;jKYg80z+X5H/AFBLAwQUAAAACACHTuJAY9JLCNkBAADiAwAADgAAAGRycy9lMm9Eb2MueG1srVNN&#10;b9swDL0P2H8QdF8cZ93WGXF6aNpehi1Aux/ASLItQF8QlTj596NkL+u6Sw6DAZkSqUe+R2p9d7KG&#10;HVVE7V3L68WSM+WEl9r1Lf/58vjhljNM4CQY71TLzwr53eb9u/UYGrXygzdSRUYgDpsxtHxIKTRV&#10;hWJQFnDhg3Lk7Hy0kGgb+0pGGAndmmq1XH6uRh9liF4oRDrdTk4+I8ZrAH3XaaG2XhyscmlCjcpA&#10;Iko46IB8U6rtOiXSj65DlZhpOTFNZaUkZO/zWm3W0PQRwqDFXAJcU8IbTha0o6QXqC0kYIeo/4Gy&#10;WkSPvksL4W01ESmKEIt6+Uab5wGCKlxIagwX0fH/wYrvx11kWrZ8RX13YKnjdV1/zcKMARvy37td&#10;nHcYdjGzPHXR5j/Vz05FzPNFTHVKTEyHgk4/1l8+ZbDqz60QMT0pb1k2Wm60yyShgeM3TFPo75B8&#10;bBwbZxwmgCYuOsmZsIGKRteXq+iNlo/amHwBY7+/N5EdgZr+cJO/uYK/wnKOLeAwxRVXDoNmUCAf&#10;nGTpHEgNR6+A5wqsorRG0aPJVolMoM01kUTeuAytykjONLO+k6LZ2nt5plYcQtT9QLLUpebsodYX&#10;/eYxzbP1ek/266e5+Q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wMy9Y2AAAAA0BAAAPAAAAAAAA&#10;AAEAIAAAACIAAABkcnMvZG93bnJldi54bWxQSwECFAAUAAAACACHTuJAY9JLCNkBAADiAwAADgAA&#10;AAAAAAABACAAAAAnAQAAZHJzL2Uyb0RvYy54bWxQSwUGAAAAAAYABgBZAQAAcg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7696" behindDoc="1" locked="0" layoutInCell="1" allowOverlap="1">
                <wp:simplePos x="0" y="0"/>
                <wp:positionH relativeFrom="page">
                  <wp:posOffset>6853555</wp:posOffset>
                </wp:positionH>
                <wp:positionV relativeFrom="page">
                  <wp:posOffset>678180</wp:posOffset>
                </wp:positionV>
                <wp:extent cx="0" cy="3175"/>
                <wp:effectExtent l="0" t="0" r="0" b="0"/>
                <wp:wrapNone/>
                <wp:docPr id="29" name="1120"/>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0" o:spid="_x0000_s1026" o:spt="20" style="position:absolute;left:0pt;margin-left:539.65pt;margin-top:53.4pt;height:0.25pt;width:0pt;mso-position-horizontal-relative:page;mso-position-vertical-relative:page;z-index:-251638784;mso-width-relative:page;mso-height-relative:page;" filled="f" stroked="t" coordsize="21600,21600" o:gfxdata="UEsDBAoAAAAAAIdO4kAAAAAAAAAAAAAAAAAEAAAAZHJzL1BLAwQUAAAACACHTuJAUs67h9QAAAAN&#10;AQAADwAAAGRycy9kb3ducmV2LnhtbE1Py07DMBC8I/EP1iJxQdQukQqEOD2AInFtKULc3HibBOLd&#10;KHYf/D0bOMBtZmc0O1MsT6FXBxxjx2RhPjOgkGr2HTUWNi/V9R2omBx51zOhhS+MsCzPzwqXez7S&#10;Cg/r1CgJoZg7C21KQ651rFsMLs54QBJtx2NwSejYaD+6o4SHXt8Ys9DBdSQfWjfgY4v153ofLLw/&#10;v4VXesq4Xl1xp6sPs6t4Y+3lxdw8gEp4Sn9mmOpLdSil05b35KPqhZvb+0y8E1rIiMnye9r+oAx0&#10;Wej/K8pvUEsDBBQAAAAIAIdO4kAGzWmj2AEAAOIDAAAOAAAAZHJzL2Uyb0RvYy54bWytU9uO0zAQ&#10;fUfiHyy/0zRB3KKmK7RleUFQaeEDXNtJLPmmGbdp/56xE7rL8tIHFMkZe8bH5xyPN3dnZ9lJA5rg&#10;O16v1pxpL4Myfuj4r58Pbz5yhkl4JWzwuuMXjfxu+/rVZoqtbsIYrNLACMRjO8WOjynFtqpQjtoJ&#10;XIWoPSX7AE4kmsJQKRAToTtbNev1+2oKoCIEqRFpdTcn+YIItwCGvjdS74I8Ou3TjAraikSScDQR&#10;+baw7Xst04++R52Y7TgpTWWkQyg+5LHabkQ7gIijkQsFcQuFF5qcMJ4OvULtRBLsCOYfKGckBAx9&#10;WsngqllIcYRU1OsX3jyOIuqihazGeDUd/x+s/H7aAzOq480nzrxwdON13RRjpogt5e/9HsimPMO4&#10;h6zy3IPLf+LPzsXMy9VMfU5MzouSVt/WH95ll6unXREwfdXBsRx03BqfRYpWnL5hmkv/lORl69m0&#10;4DApqOPAK86ki0Qa/VC2YrBGPRhr8waE4XBvgZ0EXfrnhr56YfBXWT5jJ3Cc60pqbodRC/XFK5Yu&#10;kdzw9Ap4ZuA0HWs1PZoclcZJwthbKkm89ZmaLi25yHxyNEeHoC50FccIZhjJlplzztDVF/+WNs29&#10;9XxO8fOnuf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s67h9QAAAANAQAADwAAAAAAAAABACAA&#10;AAAiAAAAZHJzL2Rvd25yZXYueG1sUEsBAhQAFAAAAAgAh07iQAbNaaPYAQAA4gMAAA4AAAAAAAAA&#10;AQAgAAAAIwEAAGRycy9lMm9Eb2MueG1sUEsFBgAAAAAGAAYAWQEAAG0FA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8720" behindDoc="1" locked="0" layoutInCell="1" allowOverlap="1">
                <wp:simplePos x="0" y="0"/>
                <wp:positionH relativeFrom="page">
                  <wp:posOffset>958850</wp:posOffset>
                </wp:positionH>
                <wp:positionV relativeFrom="page">
                  <wp:posOffset>681355</wp:posOffset>
                </wp:positionV>
                <wp:extent cx="0" cy="13970"/>
                <wp:effectExtent l="4445" t="4445" r="8255" b="6985"/>
                <wp:wrapNone/>
                <wp:docPr id="30" name="1121"/>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1" o:spid="_x0000_s1026" o:spt="20" style="position:absolute;left:0pt;margin-left:75.5pt;margin-top:53.65pt;height:1.1pt;width:0pt;mso-position-horizontal-relative:page;mso-position-vertical-relative:page;z-index:-251637760;mso-width-relative:page;mso-height-relative:page;" filled="f" stroked="t" coordsize="21600,21600" o:gfxdata="UEsDBAoAAAAAAIdO4kAAAAAAAAAAAAAAAAAEAAAAZHJzL1BLAwQUAAAACACHTuJAHKasz9QAAAAL&#10;AQAADwAAAGRycy9kb3ducmV2LnhtbE1Py07DMBC8I/EP1iJxQdQOVXmEOD2AInFtKULc3HibBOLd&#10;KHYf/D0bLnDbeWh2plieQq8OOMaOyUI2M6CQavYdNRY2r9X1PaiYHHnXM6GFb4ywLM/PCpd7PtIK&#10;D+vUKAmhmDsLbUpDrnWsWwwuznhAEm3HY3BJ4NhoP7qjhIde3xhzq4PrSD60bsCnFuuv9T5Y+Hh5&#10;D2/0POd6dcWdrj7NruKNtZcXmXkElfCU/sww1ZfqUEqnLe/JR9ULXmSyJclh7uagJscvs52YhwXo&#10;stD/N5Q/UEsDBBQAAAAIAIdO4kBqcdkw3QEAAOMDAAAOAAAAZHJzL2Uyb0RvYy54bWytU02P0zAQ&#10;vSPxHyzfaZquYCFqukJblguCSsAPcJ1JYslfmnGb9t8zdkpZlksPqFI69ozfvPc8Xj+cnBVHQDLB&#10;t7JeLKUAr0Nn/NDKnz+e3ryXgpLynbLBQyvPQPJh8/rVeooNrMIYbAcoGMRTM8VWjinFpqpIj+AU&#10;LUIEz8k+oFOJlzhUHaqJ0Z2tVsvlu2oK2EUMGoh4dzsn5QURbwEMfW80bIM+OPBpRkWwKrEkGk0k&#10;uSls+x50+tb3BEnYVrLSVL7chON9/labtWoGVHE0+kJB3ULhhSanjOemV6itSkoc0PwD5YzGQKFP&#10;Cx1cNQspjrCKevnCm++jilC0sNUUr6bT/4PVX487FKZr5R1b4pXjG6/rVZ2NmSI1nH/0O7ysKO4w&#10;qzz16PI/8xenYub5aiacktDzpubd+u7DfbG5+nMsIqXPEJzIQSut8VmlatTxCyVuxaW/S/K29WJi&#10;fvX9Wym04pFD33HkIrMmP5SjFKzpnoy1+QDhsH+0KI6Kb/3jin9FD8P+VZZ7bBWNc11JzfMwguo+&#10;+U6kc2Q7PD8DmRk44LYW+NXkqExOUsbeUsmtrc/UoMzkRWY2eLY0R/vQnfkuDhHNMLItM+ec4bsv&#10;plzmNA/X8zXHz9/m5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cpqzP1AAAAAsBAAAPAAAAAAAA&#10;AAEAIAAAACIAAABkcnMvZG93bnJldi54bWxQSwECFAAUAAAACACHTuJAanHZMN0BAADjAwAADgAA&#10;AAAAAAABACAAAAAjAQAAZHJzL2Uyb0RvYy54bWxQSwUGAAAAAAYABgBZAQAAcgU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79744" behindDoc="1" locked="0" layoutInCell="1" allowOverlap="1">
                <wp:simplePos x="0" y="0"/>
                <wp:positionH relativeFrom="page">
                  <wp:posOffset>6853555</wp:posOffset>
                </wp:positionH>
                <wp:positionV relativeFrom="page">
                  <wp:posOffset>681355</wp:posOffset>
                </wp:positionV>
                <wp:extent cx="0" cy="13970"/>
                <wp:effectExtent l="4445" t="4445" r="8255" b="6985"/>
                <wp:wrapNone/>
                <wp:docPr id="31" name="1122"/>
                <wp:cNvGraphicFramePr/>
                <a:graphic xmlns:a="http://schemas.openxmlformats.org/drawingml/2006/main">
                  <a:graphicData uri="http://schemas.microsoft.com/office/word/2010/wordprocessingShape">
                    <wps:wsp>
                      <wps:cNvCnPr/>
                      <wps:spPr>
                        <a:xfrm>
                          <a:off x="0" y="0"/>
                          <a:ext cx="0" cy="1397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2" o:spid="_x0000_s1026" o:spt="20" style="position:absolute;left:0pt;margin-left:539.65pt;margin-top:53.65pt;height:1.1pt;width:0pt;mso-position-horizontal-relative:page;mso-position-vertical-relative:page;z-index:-251636736;mso-width-relative:page;mso-height-relative:page;" filled="f" stroked="t" coordsize="21600,21600" o:gfxdata="UEsDBAoAAAAAAIdO4kAAAAAAAAAAAAAAAAAEAAAAZHJzL1BLAwQUAAAACACHTuJAHIILaNkAAAAN&#10;AQAADwAAAGRycy9kb3ducmV2LnhtbE2PzU7DMBCE70i8g7VI3KjdIkoT4vSAhJCQELS0qEc3XpKU&#10;eB3FTn94ejZwgNvM7mj222x+dI3YYxdqTxrGIwUCqfC2plLD6u3hagYiREPWNJ5QwwkDzPPzs8yk&#10;1h9ogftlLAWXUEiNhirGNpUyFBU6E0a+ReLdh++ciWy7UtrOHLjcNXKi1FQ6UxNfqEyL9xUWn8ve&#10;aXhuN9P1JNltHt/7+PQSTzv/uvrS+vJirO5ARDzGvzAM+IwOOTNtfU82iIa9uk2uOfujWAyR39F2&#10;UMkNyDyT/7/IvwFQSwMEFAAAAAgAh07iQOnSxaLfAQAA4wMAAA4AAABkcnMvZTJvRG9jLnhtbK1T&#10;y27bMBC8F+g/ELzXspy2aQTLOcRJL0VrIO0HrElKIsAXuLRl/32XlOqm6cWHwIC85C5nZ4bL9f3J&#10;GnZUEbV3La8XS86UE15q17f818+nD184wwROgvFOtfyskN9v3r9bj6FRKz94I1VkBOKwGUPLh5RC&#10;U1UoBmUBFz4oR8nORwuJlrGvZISR0K2pVsvl52r0UYbohUKk3e2U5DNivAbQd50WauvFwSqXJtSo&#10;DCSShIMOyDeFbdcpkX50HarETMtJaSpfakLxPn+rzRqaPkIYtJgpwDUUXmmyoB01vUBtIQE7RP0f&#10;lNUievRdWghvq0lIcYRU1MtX3jwPEFTRQlZjuJiObwcrvh93kWnZ8puaMweWbryuV6tszBiwofyD&#10;28V5hWEXs8pTF23+J/7sVMw8X8xUp8TEtClot765uy02V3+PhYjpq/KW5aDlRrusEho4fsNEraj0&#10;T0neNo6Nmd/tJ84E0MhFJymygVij68tR9EbLJ21MPoCx3z+YyI5At/74Mf+yHoL9pyz32AIOU11J&#10;TfMwKJCPTrJ0DmSHo2fAMwOrqK1R9GpyRIDQJNDmmkpqbVw+oMpMzjKzwZOlOdp7eaa7OISo+4Fs&#10;qQvnnKG7L+znOc3D9XJN8cu3ufk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IILaNkAAAANAQAA&#10;DwAAAAAAAAABACAAAAAiAAAAZHJzL2Rvd25yZXYueG1sUEsBAhQAFAAAAAgAh07iQOnSxaLfAQAA&#10;4wMAAA4AAAAAAAAAAQAgAAAAKAEAAGRycy9lMm9Eb2MueG1sUEsFBgAAAAAGAAYAWQEAAHkFAAAA&#10;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0768"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2" name="1123"/>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A2A2A1"/>
                          </a:solidFill>
                          <a:prstDash val="solid"/>
                          <a:headEnd type="none" w="med" len="med"/>
                          <a:tailEnd type="none" w="med" len="med"/>
                        </a:ln>
                        <a:effectLst/>
                      </wps:spPr>
                      <wps:bodyPr upright="1"/>
                    </wps:wsp>
                  </a:graphicData>
                </a:graphic>
              </wp:anchor>
            </w:drawing>
          </mc:Choice>
          <mc:Fallback>
            <w:pict>
              <v:line id="1123" o:spid="_x0000_s1026" o:spt="20" style="position:absolute;left:0pt;margin-left:75.35pt;margin-top:54.85pt;height:0pt;width:0.25pt;mso-position-horizontal-relative:page;mso-position-vertical-relative:page;z-index:-251635712;mso-width-relative:page;mso-height-relative:page;" filled="f" stroked="t" coordsize="21600,21600" o:gfxdata="UEsDBAoAAAAAAIdO4kAAAAAAAAAAAAAAAAAEAAAAZHJzL1BLAwQUAAAACACHTuJA7TnlN9YAAAAL&#10;AQAADwAAAGRycy9kb3ducmV2LnhtbE2PT0/DMAzF70h8h8hIXBBLOjQGpekOoEpcN4YmblnjtYXG&#10;rprsD98eT0KC23v20/PPxeIUenXAMXZMFrKJAYVUs++osbB+q24fQMXkyLueCS18Y4RFeXlRuNzz&#10;kZZ4WKVGSQnF3FloUxpyrWPdYnBxwgOS7HY8BpfEjo32oztKeej11Jh7HVxHcqF1Az63WH+t9sHC&#10;x+smvNPLHdfLG+509Wl2Fa+tvb7KzBOohKf0F4YzvqBDKUxb3pOPqhc/M3OJijCPIs6JWTYFtf2d&#10;6LLQ/38ofwBQSwMEFAAAAAgAh07iQBqkxgXaAQAA4gMAAA4AAABkcnMvZTJvRG9jLnhtbK1Ty47b&#10;MAy8F+g/CLo3jhP0ASPOoth0eynaBbr9AEaibQF6QVTi5O9L2dl0u73kUBiQKZEcckbU5u7krDhi&#10;IhN8K+vFUgr0Kmjj+1b+enp490kKyuA12OCxlWckebd9+2YzxgZXYQhWYxIM4qkZYyuHnGNTVaQG&#10;dECLENGzswvJQeZt6iudYGR0Z6vVcvmhGkPSMQWFRHy6m53ygphuAQxdZxTugjo49HlGTWghMyUa&#10;TCS5nbrtOlT5R9cRZmFbyUzztHIRtvdlrbYbaPoEcTDq0gLc0sIrTg6M56JXqB1kEIdk/oFyRqVA&#10;ocsLFVw1E5kUYRb18pU2PweIOHFhqSleRaf/B6u+Hx+TMLqV65UUHhzfeF2v1kWYMVLD/nv/mC47&#10;io+psDx1yZU/9y9Ok5jnq5h4ykLx4br++F4K9eyo/mTFRPkrBieK0UprfCEJDRy/UeZKHPocUo6t&#10;F+MVDnjiktcM7CI3Tb6fUilYox+MtSWBUr+/t0kcgS/984q/utBh2L/CSo0d0DDHTa55HAYE/cVr&#10;kc+R1fD8CmTpwCGXtciPplgMCE0GY2+J5NLWlwScRvJCs+g7K1qsfdBnvopDTKYfWJa55+Lhq5+6&#10;v4xpma2Xe7ZfPs3t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O055TfWAAAACwEAAA8AAAAAAAAA&#10;AQAgAAAAIgAAAGRycy9kb3ducmV2LnhtbFBLAQIUABQAAAAIAIdO4kAapMYF2gEAAOIDAAAOAAAA&#10;AAAAAAEAIAAAACUBAABkcnMvZTJvRG9jLnhtbFBLBQYAAAAABgAGAFkBAABxBQAAAAA=&#10;">
                <v:fill on="f" focussize="0,0"/>
                <v:stroke weight="0.25pt" color="#A2A2A1"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1792" behindDoc="1" locked="0" layoutInCell="1" allowOverlap="1">
                <wp:simplePos x="0" y="0"/>
                <wp:positionH relativeFrom="page">
                  <wp:posOffset>956945</wp:posOffset>
                </wp:positionH>
                <wp:positionV relativeFrom="page">
                  <wp:posOffset>696595</wp:posOffset>
                </wp:positionV>
                <wp:extent cx="3175" cy="0"/>
                <wp:effectExtent l="4445" t="4445" r="5080" b="5080"/>
                <wp:wrapNone/>
                <wp:docPr id="33" name="1124"/>
                <wp:cNvGraphicFramePr/>
                <a:graphic xmlns:a="http://schemas.openxmlformats.org/drawingml/2006/main">
                  <a:graphicData uri="http://schemas.microsoft.com/office/word/2010/wordprocessingShape">
                    <wps:wsp>
                      <wps:cNvCnPr/>
                      <wps:spPr>
                        <a:xfrm>
                          <a:off x="0" y="0"/>
                          <a:ext cx="3175" cy="0"/>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4" o:spid="_x0000_s1026" o:spt="20" style="position:absolute;left:0pt;margin-left:75.35pt;margin-top:54.85pt;height:0pt;width:0.25pt;mso-position-horizontal-relative:page;mso-position-vertical-relative:page;z-index:-251634688;mso-width-relative:page;mso-height-relative:page;" filled="f" stroked="t" coordsize="21600,21600" o:gfxdata="UEsDBAoAAAAAAIdO4kAAAAAAAAAAAAAAAAAEAAAAZHJzL1BLAwQUAAAACACHTuJA+8Tx8dkAAAAL&#10;AQAADwAAAGRycy9kb3ducmV2LnhtbE2PT0vDQBDF74V+h2UEb+1uAq02ZtODIIIgaq3S4zY7Jmmz&#10;syG76R8/vVMQ9PbezOPNb/LlybXigH1oPGlIpgoEUultQ5WG9fvD5BZEiIasaT2hhjMGWBbjUW4y&#10;64/0hodVrASXUMiMhjrGLpMylDU6E6a+Q+Ldl++diWz7StreHLnctTJVai6daYgv1KbD+xrL/Wpw&#10;Gp67zfwjXew2j59DfHqJ551/XX9rfX2VqDsQEU/xLwwXfEaHgpm2fiAbRMt+pm44ykItWFwSsyQF&#10;sf2dyCKX/38ofgBQSwMEFAAAAAgAh07iQFmgfGjbAQAA4gMAAA4AAABkcnMvZTJvRG9jLnhtbK1T&#10;TW/bMAy9D9h/EHRfHCfdB4w4PTTtLsMWYN0PYCTZFqAviEqc/PtRspt13SWHwYBMieQj3xO1uT9b&#10;w04qovau5fViyZlywkvt+pb/en768IUzTOAkGO9Uyy8K+f32/bvNGBq18oM3UkVGIA6bMbR8SCk0&#10;VYViUBZw4YNy5Ox8tJBoG/tKRhgJ3ZpqtVx+qkYfZYheKEQ63U1OPiPGWwB912mhdl4crXJpQo3K&#10;QCJKOOiAfFu67Tol0o+uQ5WYaTkxTWWlImQf8lptN9D0EcKgxdwC3NLCG04WtKOiV6gdJGDHqP+B&#10;slpEj75LC+FtNREpihCLevlGm58DBFW4kNQYrqLj/4MV30/7yLRs+XrNmQNLN17Xq7sszBiwIf+D&#10;28d5h2EfM8tzF23+U//sXMS8XMVU58QEHa7rzx85Ey+O6k9WiJi+Km9ZNlputMskoYHTN0xUiUJf&#10;QvKxcWy8wgFNXHSSgG2gptH1JRW90fJJG5MTMPaHBxPZCejSH+/yl+kQ7F9hucYOcJjiimsah0GB&#10;fHSSpUsgNRy9Ap47sIrKGkWPJlsECE0CbW6JpNLG5QRVRnKmmfWdFM3WwcsLXcUxRN0PJEtdes4e&#10;uvrS/TymebZe78l+/TS3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7xPHx2QAAAAsBAAAPAAAA&#10;AAAAAAEAIAAAACIAAABkcnMvZG93bnJldi54bWxQSwECFAAUAAAACACHTuJAWaB8aNsBAADiAwAA&#10;DgAAAAAAAAABACAAAAAoAQAAZHJzL2Uyb0RvYy54bWxQSwUGAAAAAAYABgBZAQAAdQU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mc:AlternateContent>
          <mc:Choice Requires="wps">
            <w:drawing>
              <wp:anchor distT="0" distB="0" distL="114300" distR="114300" simplePos="0" relativeHeight="251682816" behindDoc="1" locked="0" layoutInCell="1" allowOverlap="1">
                <wp:simplePos x="0" y="0"/>
                <wp:positionH relativeFrom="page">
                  <wp:posOffset>6853555</wp:posOffset>
                </wp:positionH>
                <wp:positionV relativeFrom="page">
                  <wp:posOffset>694690</wp:posOffset>
                </wp:positionV>
                <wp:extent cx="0" cy="3175"/>
                <wp:effectExtent l="0" t="0" r="0" b="0"/>
                <wp:wrapNone/>
                <wp:docPr id="35" name="1126"/>
                <wp:cNvGraphicFramePr/>
                <a:graphic xmlns:a="http://schemas.openxmlformats.org/drawingml/2006/main">
                  <a:graphicData uri="http://schemas.microsoft.com/office/word/2010/wordprocessingShape">
                    <wps:wsp>
                      <wps:cNvCnPr/>
                      <wps:spPr>
                        <a:xfrm>
                          <a:off x="0" y="0"/>
                          <a:ext cx="0" cy="3175"/>
                        </a:xfrm>
                        <a:prstGeom prst="line">
                          <a:avLst/>
                        </a:prstGeom>
                        <a:ln w="3175" cap="rnd" cmpd="sng">
                          <a:solidFill>
                            <a:srgbClr val="E4E4E4"/>
                          </a:solidFill>
                          <a:prstDash val="solid"/>
                          <a:headEnd type="none" w="med" len="med"/>
                          <a:tailEnd type="none" w="med" len="med"/>
                        </a:ln>
                        <a:effectLst/>
                      </wps:spPr>
                      <wps:bodyPr upright="1"/>
                    </wps:wsp>
                  </a:graphicData>
                </a:graphic>
              </wp:anchor>
            </w:drawing>
          </mc:Choice>
          <mc:Fallback>
            <w:pict>
              <v:line id="1126" o:spid="_x0000_s1026" o:spt="20" style="position:absolute;left:0pt;margin-left:539.65pt;margin-top:54.7pt;height:0.25pt;width:0pt;mso-position-horizontal-relative:page;mso-position-vertical-relative:page;z-index:-251633664;mso-width-relative:page;mso-height-relative:page;" filled="f" stroked="t" coordsize="21600,21600" o:gfxdata="UEsDBAoAAAAAAIdO4kAAAAAAAAAAAAAAAAAEAAAAZHJzL1BLAwQUAAAACACHTuJAawcG+9kAAAAN&#10;AQAADwAAAGRycy9kb3ducmV2LnhtbE2PzU7DMBCE70i8g7VI3KjdgkoT4vSAhJCQELS0qEc3XpKU&#10;eB3FTn94ejZwgNvO7Gj222x+dI3YYxdqTxrGIwUCqfC2plLD6u3hagYiREPWNJ5QwwkDzPPzs8yk&#10;1h9ogftlLAWXUEiNhirGNpUyFBU6E0a+ReLdh++ciSy7UtrOHLjcNXKi1FQ6UxNfqEyL9xUWn8ve&#10;aXhuN9P1JNltHt/7+PQSTzv/uvrS+vJirO5ARDzGvzAM+IwOOTNtfU82iIa1uk2uOTtMyQ2IIfJr&#10;bX+sBGSeyf9f5N9QSwMEFAAAAAgAh07iQCOmParZAQAA4gMAAA4AAABkcnMvZTJvRG9jLnhtbK1T&#10;TW/bMAy9D9h/EHRvHKdrNxhxemjaXYYtwLofwEiyLUBfEJU4+fejZC/tuksOgwGZIqlHvidq/XCy&#10;hh1VRO1dy+vFkjPlhJfa9S3/9fJ884UzTOAkGO9Uy88K+cPm44f1GBq18oM3UkVGIA6bMbR8SCk0&#10;VYViUBZw4YNyFOx8tJBoG/tKRhgJ3ZpqtVzeV6OPMkQvFCJ5t1OQz4jxGkDfdVqorRcHq1yaUKMy&#10;kIgSDjog35Ruu06J9KPrUCVmWk5MU1mpCNn7vFabNTR9hDBoMbcA17TwjpMF7ajoBWoLCdgh6n+g&#10;rBbRo+/SQnhbTUSKIsSiXr7T5ucAQRUuJDWGi+j4/2DF9+MuMi1bfnvHmQNLN17Xq/sszBiwofij&#10;28V5h2EXM8tTF23+U//sVMQ8X8RUp8TE5BTkva0/32Ww6vVUiJi+Km9ZNlputMskoYHjN0xT6p+U&#10;7DaOjTMOE0ATF53kTNhATaPry1H0RstnbUw+gLHfP5rIjkCX/vQpf3MHf6XlGlvAYcoroZwGzaBA&#10;PjnJ0jmQGo5eAc8dWEVljaJHk62SmUCbazKJvHEZWpWRnGlmfSdFs7X38kxXcQhR9wPJUpeec4Su&#10;vug3j2merbd7st8+zc1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wcG+9kAAAANAQAADwAAAAAA&#10;AAABACAAAAAiAAAAZHJzL2Rvd25yZXYueG1sUEsBAhQAFAAAAAgAh07iQCOmParZAQAA4gMAAA4A&#10;AAAAAAAAAQAgAAAAKAEAAGRycy9lMm9Eb2MueG1sUEsFBgAAAAAGAAYAWQEAAHMFAAAAAA==&#10;">
                <v:fill on="f" focussize="0,0"/>
                <v:stroke weight="0.25pt" color="#E4E4E4" joinstyle="round" endcap="round"/>
                <v:imagedata o:title=""/>
                <o:lock v:ext="edit" aspectratio="f"/>
              </v:line>
            </w:pict>
          </mc:Fallback>
        </mc:AlternateContent>
      </w:r>
      <w:r>
        <w:rPr>
          <w:rFonts w:hint="default" w:ascii="Times New Roman" w:hAnsi="Times New Roman" w:eastAsia="国标宋体" w:cs="Times New Roman"/>
          <w:color w:val="auto"/>
          <w:spacing w:val="8"/>
          <w:sz w:val="28"/>
          <w:szCs w:val="28"/>
        </w:rPr>
        <w:t>工作情况。评审组长主持交流会议，各评审</w:t>
      </w:r>
      <w:r>
        <w:rPr>
          <w:rFonts w:hint="default" w:ascii="Times New Roman" w:hAnsi="Times New Roman" w:eastAsia="国标宋体" w:cs="Times New Roman"/>
          <w:color w:val="auto"/>
          <w:spacing w:val="8"/>
          <w:sz w:val="28"/>
          <w:szCs w:val="28"/>
          <w:lang w:eastAsia="zh-CN"/>
        </w:rPr>
        <w:t>员</w:t>
      </w:r>
      <w:r>
        <w:rPr>
          <w:rFonts w:hint="default" w:ascii="Times New Roman" w:hAnsi="Times New Roman" w:eastAsia="国标宋体" w:cs="Times New Roman"/>
          <w:color w:val="auto"/>
          <w:spacing w:val="8"/>
          <w:sz w:val="28"/>
          <w:szCs w:val="28"/>
        </w:rPr>
        <w:t>简要介绍分组评审情况，并逐项说明存在的问题，就这些问题</w:t>
      </w:r>
      <w:r>
        <w:rPr>
          <w:rFonts w:hint="default" w:ascii="Times New Roman" w:hAnsi="Times New Roman" w:eastAsia="国标宋体" w:cs="Times New Roman"/>
          <w:color w:val="auto"/>
          <w:spacing w:val="8"/>
          <w:sz w:val="28"/>
          <w:szCs w:val="28"/>
          <w:lang w:val="en-US" w:eastAsia="zh-CN"/>
        </w:rPr>
        <w:t>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沟通</w:t>
      </w:r>
      <w:r>
        <w:rPr>
          <w:rFonts w:hint="default" w:ascii="Times New Roman" w:hAnsi="Times New Roman" w:eastAsia="国标宋体" w:cs="Times New Roman"/>
          <w:color w:val="auto"/>
          <w:spacing w:val="8"/>
          <w:sz w:val="28"/>
          <w:szCs w:val="28"/>
        </w:rPr>
        <w:t>意见。</w:t>
      </w:r>
    </w:p>
    <w:p w14:paraId="16A7FD38">
      <w:p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 xml:space="preserve">5.9 </w:t>
      </w:r>
      <w:r>
        <w:rPr>
          <w:rFonts w:hint="default" w:ascii="Times New Roman" w:hAnsi="Times New Roman" w:eastAsia="国标宋体" w:cs="Times New Roman"/>
          <w:color w:val="auto"/>
          <w:spacing w:val="8"/>
          <w:sz w:val="28"/>
          <w:szCs w:val="28"/>
          <w:lang w:eastAsia="zh-CN"/>
        </w:rPr>
        <w:t>总结会议</w:t>
      </w:r>
    </w:p>
    <w:p w14:paraId="3DB30981">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由评审组长主持，评审组全体成员、</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有关人员参加。与会人员在《</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签到表》等文件上签名。</w:t>
      </w:r>
      <w:r>
        <w:rPr>
          <w:rFonts w:hint="default" w:ascii="Times New Roman" w:hAnsi="Times New Roman" w:eastAsia="国标宋体" w:cs="Times New Roman"/>
          <w:color w:val="auto"/>
          <w:spacing w:val="8"/>
          <w:sz w:val="28"/>
          <w:szCs w:val="28"/>
          <w:lang w:eastAsia="zh-CN"/>
        </w:rPr>
        <w:t>总结会议</w:t>
      </w:r>
      <w:r>
        <w:rPr>
          <w:rFonts w:hint="default" w:ascii="Times New Roman" w:hAnsi="Times New Roman" w:eastAsia="国标宋体" w:cs="Times New Roman"/>
          <w:color w:val="auto"/>
          <w:spacing w:val="8"/>
          <w:sz w:val="28"/>
          <w:szCs w:val="28"/>
        </w:rPr>
        <w:t>一般包括下述内容：</w:t>
      </w:r>
    </w:p>
    <w:p w14:paraId="44208509">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评审组长对现场鉴定评审</w:t>
      </w:r>
      <w:r>
        <w:rPr>
          <w:rFonts w:hint="default" w:ascii="Times New Roman" w:hAnsi="Times New Roman" w:eastAsia="国标宋体" w:cs="Times New Roman"/>
          <w:color w:val="auto"/>
          <w:spacing w:val="8"/>
          <w:sz w:val="28"/>
          <w:szCs w:val="28"/>
          <w:lang w:eastAsia="zh-CN"/>
        </w:rPr>
        <w:t>工作</w:t>
      </w:r>
      <w:r>
        <w:rPr>
          <w:rFonts w:hint="eastAsia" w:eastAsia="国标宋体" w:cs="Times New Roman"/>
          <w:color w:val="auto"/>
          <w:spacing w:val="8"/>
          <w:sz w:val="28"/>
          <w:szCs w:val="28"/>
          <w:lang w:eastAsia="zh-CN"/>
        </w:rPr>
        <w:t>进行概要</w:t>
      </w:r>
      <w:r>
        <w:rPr>
          <w:rFonts w:hint="default" w:ascii="Times New Roman" w:hAnsi="Times New Roman" w:eastAsia="国标宋体" w:cs="Times New Roman"/>
          <w:color w:val="auto"/>
          <w:spacing w:val="8"/>
          <w:sz w:val="28"/>
          <w:szCs w:val="28"/>
        </w:rPr>
        <w:t>总结。</w:t>
      </w:r>
    </w:p>
    <w:p w14:paraId="7ABDA14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评审组长通报评审情况，公布现场评审结论（分为“符合条件”、“基本符合但需整改”、“不符合条件”三种），并逐项说明存在的问题。</w:t>
      </w:r>
    </w:p>
    <w:p w14:paraId="6E035E1D">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评审组长说明因鉴定评审的局限性、时限性而可能带来的风险，告知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申诉、投诉的权利。再次声明评审组在客观、公正、保守秘密等方面的承诺。并与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》（一式三份，评审组长、</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特种设备监督管理部门代表各执一份）。</w:t>
      </w:r>
    </w:p>
    <w:p w14:paraId="6B46A990">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若</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拒绝签署《</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，评审组长在《</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》上注明情况，</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应向</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书面陈述理由。</w:t>
      </w:r>
    </w:p>
    <w:p w14:paraId="4E05C15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如果评审组发现申请单位存在重大问题，无法进行整改或整改难度大以至于给定的最长整改期限内无法完成整改的，评审组出具《特种设备检验机构核准鉴定评审终止评审意见通知书》，</w:t>
      </w:r>
      <w:r>
        <w:rPr>
          <w:rFonts w:hint="default" w:ascii="Times New Roman" w:hAnsi="Times New Roman" w:eastAsia="国标宋体" w:cs="Times New Roman"/>
          <w:color w:val="auto"/>
          <w:spacing w:val="8"/>
          <w:sz w:val="28"/>
          <w:szCs w:val="28"/>
        </w:rPr>
        <w:t>由评审组、申请单位、属地监管部门三方签字确认并当场归档。现场鉴定评审</w:t>
      </w:r>
      <w:r>
        <w:rPr>
          <w:rFonts w:hint="default" w:ascii="Times New Roman" w:hAnsi="Times New Roman" w:eastAsia="国标宋体" w:cs="Times New Roman"/>
          <w:color w:val="auto"/>
          <w:spacing w:val="8"/>
          <w:sz w:val="28"/>
          <w:szCs w:val="28"/>
          <w:lang w:val="en-US" w:eastAsia="zh-CN"/>
        </w:rPr>
        <w:t>需终止情况，详见附录G。</w:t>
      </w:r>
    </w:p>
    <w:p w14:paraId="0402449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负责人讲话。</w:t>
      </w:r>
    </w:p>
    <w:p w14:paraId="48A9B108">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评审组长说明其他有关事宜（如向</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说明不符合项目的整改要求等）。</w:t>
      </w:r>
    </w:p>
    <w:p w14:paraId="6133ABB4">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val="en-US" w:eastAsia="zh-CN"/>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听取属地特种设备监督管理部门代表的意见。</w:t>
      </w:r>
    </w:p>
    <w:p w14:paraId="09D4128E">
      <w:pPr>
        <w:autoSpaceDE w:val="0"/>
        <w:autoSpaceDN w:val="0"/>
        <w:snapToGrid w:val="0"/>
        <w:spacing w:line="360" w:lineRule="auto"/>
        <w:ind w:firstLine="592" w:firstLineChars="200"/>
        <w:rPr>
          <w:rFonts w:hint="default" w:ascii="Times New Roman" w:hAnsi="Times New Roman" w:eastAsia="国标宋体" w:cs="Times New Roman"/>
          <w:color w:val="auto"/>
          <w:spacing w:val="8"/>
          <w:sz w:val="28"/>
          <w:szCs w:val="28"/>
          <w:lang w:val="en-US" w:eastAsia="zh-CN"/>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申请单位</w:t>
      </w:r>
      <w:r>
        <w:rPr>
          <w:rFonts w:hint="eastAsia" w:eastAsia="国标宋体" w:cs="Times New Roman"/>
          <w:color w:val="auto"/>
          <w:spacing w:val="8"/>
          <w:sz w:val="28"/>
          <w:szCs w:val="28"/>
          <w:lang w:eastAsia="zh-CN"/>
        </w:rPr>
        <w:t>填写《</w:t>
      </w:r>
      <w:r>
        <w:rPr>
          <w:rFonts w:hint="default" w:ascii="Times New Roman" w:hAnsi="Times New Roman" w:eastAsia="国标宋体" w:cs="Times New Roman"/>
          <w:color w:val="auto"/>
          <w:spacing w:val="8"/>
          <w:sz w:val="28"/>
          <w:szCs w:val="28"/>
          <w:lang w:val="en-US" w:eastAsia="zh-CN"/>
        </w:rPr>
        <w:t>特种设备</w:t>
      </w:r>
      <w:r>
        <w:rPr>
          <w:rFonts w:hint="eastAsia"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val="en-US" w:eastAsia="zh-CN"/>
        </w:rPr>
        <w:t>机构核准鉴定评审工作意见反馈表</w:t>
      </w: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w:t>
      </w:r>
    </w:p>
    <w:p w14:paraId="492E5C1E">
      <w:pPr>
        <w:numPr>
          <w:ilvl w:val="-1"/>
          <w:numId w:val="0"/>
        </w:numPr>
        <w:autoSpaceDE w:val="0"/>
        <w:autoSpaceDN w:val="0"/>
        <w:snapToGrid w:val="0"/>
        <w:spacing w:line="360" w:lineRule="auto"/>
        <w:ind w:firstLine="592" w:firstLineChars="200"/>
        <w:jc w:val="left"/>
        <w:outlineLvl w:val="9"/>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w:t>
      </w:r>
      <w:r>
        <w:rPr>
          <w:rFonts w:hint="default" w:ascii="Times New Roman" w:hAnsi="Times New Roman" w:eastAsia="国标宋体" w:cs="Times New Roman"/>
          <w:color w:val="auto"/>
          <w:spacing w:val="8"/>
          <w:sz w:val="28"/>
          <w:szCs w:val="28"/>
        </w:rPr>
        <w:t xml:space="preserve"> </w:t>
      </w:r>
      <w:r>
        <w:rPr>
          <w:rFonts w:hint="default" w:ascii="Times New Roman" w:hAnsi="Times New Roman" w:eastAsia="国标宋体" w:cs="Times New Roman"/>
          <w:color w:val="auto"/>
          <w:spacing w:val="8"/>
          <w:sz w:val="28"/>
          <w:szCs w:val="28"/>
          <w:lang w:val="en-US" w:eastAsia="zh-CN"/>
        </w:rPr>
        <w:t>问题及</w:t>
      </w:r>
      <w:r>
        <w:rPr>
          <w:rFonts w:hint="default" w:ascii="Times New Roman" w:hAnsi="Times New Roman" w:eastAsia="国标宋体" w:cs="Times New Roman"/>
          <w:color w:val="auto"/>
          <w:spacing w:val="8"/>
          <w:sz w:val="28"/>
          <w:szCs w:val="28"/>
        </w:rPr>
        <w:t>整改</w:t>
      </w:r>
    </w:p>
    <w:p w14:paraId="52D90CF2">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5.10.1问题反馈</w:t>
      </w:r>
    </w:p>
    <w:p w14:paraId="4949CCAC">
      <w:pPr>
        <w:keepNext w:val="0"/>
        <w:keepLines w:val="0"/>
        <w:widowControl/>
        <w:suppressLineNumbers w:val="0"/>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kern w:val="0"/>
          <w:sz w:val="28"/>
          <w:szCs w:val="28"/>
          <w:lang w:val="en-US" w:eastAsia="zh-CN" w:bidi="ar"/>
        </w:rPr>
      </w:pPr>
      <w:r>
        <w:rPr>
          <w:rFonts w:hint="default" w:ascii="Times New Roman" w:hAnsi="Times New Roman" w:eastAsia="国标宋体" w:cs="Times New Roman"/>
          <w:color w:val="auto"/>
          <w:spacing w:val="8"/>
          <w:kern w:val="0"/>
          <w:sz w:val="28"/>
          <w:szCs w:val="28"/>
          <w:lang w:val="en-US" w:eastAsia="zh-CN" w:bidi="ar"/>
        </w:rPr>
        <w:t>鉴定评审工作结束前，鉴定评审组应当将发现的问题向申请单位通报；对于需要一定时间完成整改的，双方应当签署</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kern w:val="0"/>
          <w:sz w:val="28"/>
          <w:szCs w:val="28"/>
          <w:lang w:val="en-US" w:eastAsia="zh-CN" w:bidi="ar"/>
        </w:rPr>
        <w:t>。</w:t>
      </w:r>
    </w:p>
    <w:p w14:paraId="7427CA23">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5.10.2</w:t>
      </w:r>
      <w:r>
        <w:rPr>
          <w:rFonts w:hint="eastAsia" w:eastAsia="国标宋体" w:cs="Times New Roman"/>
          <w:color w:val="auto"/>
          <w:spacing w:val="8"/>
          <w:sz w:val="28"/>
          <w:szCs w:val="28"/>
          <w:lang w:val="en-US" w:eastAsia="zh-CN"/>
        </w:rPr>
        <w:t xml:space="preserve"> 问题</w:t>
      </w:r>
      <w:r>
        <w:rPr>
          <w:rFonts w:hint="default" w:ascii="Times New Roman" w:hAnsi="Times New Roman" w:eastAsia="国标宋体" w:cs="Times New Roman"/>
          <w:color w:val="auto"/>
          <w:spacing w:val="8"/>
          <w:sz w:val="28"/>
          <w:szCs w:val="28"/>
          <w:lang w:val="en-US" w:eastAsia="zh-CN"/>
        </w:rPr>
        <w:t>整改</w:t>
      </w:r>
    </w:p>
    <w:p w14:paraId="1251C67B">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应当依据《</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》提出的不符合项目和规定的期限，按照《整改报告格式》（附录</w:t>
      </w:r>
      <w:r>
        <w:rPr>
          <w:rFonts w:hint="default" w:ascii="Times New Roman" w:hAnsi="Times New Roman" w:eastAsia="国标宋体" w:cs="Times New Roman"/>
          <w:color w:val="auto"/>
          <w:spacing w:val="8"/>
          <w:sz w:val="28"/>
          <w:szCs w:val="28"/>
          <w:lang w:val="en-US" w:eastAsia="zh-CN"/>
        </w:rPr>
        <w:t>D</w:t>
      </w:r>
      <w:r>
        <w:rPr>
          <w:rFonts w:hint="default" w:ascii="Times New Roman" w:hAnsi="Times New Roman" w:eastAsia="国标宋体" w:cs="Times New Roman"/>
          <w:color w:val="auto"/>
          <w:spacing w:val="8"/>
          <w:sz w:val="28"/>
          <w:szCs w:val="28"/>
        </w:rPr>
        <w:t>）和《整改报告编制要求》（附录</w:t>
      </w:r>
      <w:r>
        <w:rPr>
          <w:rFonts w:hint="default" w:ascii="Times New Roman" w:hAnsi="Times New Roman" w:eastAsia="国标宋体" w:cs="Times New Roman"/>
          <w:color w:val="auto"/>
          <w:spacing w:val="8"/>
          <w:sz w:val="28"/>
          <w:szCs w:val="28"/>
          <w:lang w:val="en-US" w:eastAsia="zh-CN"/>
        </w:rPr>
        <w:t>E</w:t>
      </w:r>
      <w:r>
        <w:rPr>
          <w:rFonts w:hint="default" w:ascii="Times New Roman" w:hAnsi="Times New Roman" w:eastAsia="国标宋体" w:cs="Times New Roman"/>
          <w:color w:val="auto"/>
          <w:spacing w:val="8"/>
          <w:sz w:val="28"/>
          <w:szCs w:val="28"/>
        </w:rPr>
        <w:t>）要求在规定的期限内完成整改工作。</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整改时间不得超过6个月</w:t>
      </w:r>
      <w:r>
        <w:rPr>
          <w:rFonts w:hint="default" w:ascii="Times New Roman" w:hAnsi="Times New Roman" w:eastAsia="国标宋体" w:cs="Times New Roman"/>
          <w:color w:val="auto"/>
          <w:spacing w:val="8"/>
          <w:sz w:val="28"/>
          <w:szCs w:val="28"/>
          <w:vertAlign w:val="superscript"/>
          <w:lang w:val="en-US" w:eastAsia="zh-CN"/>
        </w:rPr>
        <w:t>注</w:t>
      </w:r>
      <w:r>
        <w:rPr>
          <w:rStyle w:val="15"/>
          <w:rFonts w:hint="default" w:ascii="Times New Roman" w:hAnsi="Times New Roman" w:eastAsia="国标宋体" w:cs="Times New Roman"/>
          <w:color w:val="auto"/>
          <w:spacing w:val="8"/>
          <w:sz w:val="28"/>
          <w:szCs w:val="28"/>
          <w:vertAlign w:val="superscript"/>
          <w:lang w:val="en-US" w:eastAsia="zh-CN"/>
        </w:rPr>
        <w:footnoteReference w:id="1"/>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如</w:t>
      </w:r>
      <w:r>
        <w:rPr>
          <w:rFonts w:hint="default" w:ascii="Times New Roman" w:hAnsi="Times New Roman" w:eastAsia="国标宋体" w:cs="Times New Roman"/>
          <w:color w:val="auto"/>
          <w:spacing w:val="8"/>
          <w:sz w:val="28"/>
          <w:szCs w:val="28"/>
          <w:lang w:val="en-US" w:eastAsia="zh-CN"/>
        </w:rPr>
        <w:t>在整改期间原证书过期，应停止一切检验检测工作。</w:t>
      </w:r>
      <w:r>
        <w:rPr>
          <w:rFonts w:hint="default" w:ascii="Times New Roman" w:hAnsi="Times New Roman" w:eastAsia="国标宋体" w:cs="Times New Roman"/>
          <w:color w:val="auto"/>
          <w:spacing w:val="8"/>
          <w:sz w:val="28"/>
          <w:szCs w:val="28"/>
          <w:lang w:eastAsia="zh-CN"/>
        </w:rPr>
        <w:t>申请单位逾期未完成整改工作或者整改不符合条件要求的</w:t>
      </w:r>
      <w:r>
        <w:rPr>
          <w:rFonts w:hint="default" w:ascii="Times New Roman" w:hAnsi="Times New Roman" w:eastAsia="国标宋体" w:cs="Times New Roman"/>
          <w:color w:val="auto"/>
          <w:spacing w:val="8"/>
          <w:sz w:val="28"/>
          <w:szCs w:val="28"/>
        </w:rPr>
        <w:t>，鉴定评审结论为</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不符合条件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出具不合格结论报告。</w:t>
      </w:r>
    </w:p>
    <w:p w14:paraId="271FB6E5">
      <w:pPr>
        <w:numPr>
          <w:ilvl w:val="255"/>
          <w:numId w:val="0"/>
        </w:numPr>
        <w:autoSpaceDE w:val="0"/>
        <w:autoSpaceDN w:val="0"/>
        <w:snapToGrid w:val="0"/>
        <w:spacing w:line="360" w:lineRule="auto"/>
        <w:ind w:firstLine="592" w:firstLineChars="200"/>
        <w:jc w:val="left"/>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val="en-US" w:eastAsia="zh-CN"/>
        </w:rPr>
        <w:t>5.10.3</w:t>
      </w:r>
      <w:r>
        <w:rPr>
          <w:rFonts w:hint="default" w:ascii="Times New Roman" w:hAnsi="Times New Roman" w:eastAsia="国标宋体" w:cs="Times New Roman"/>
          <w:color w:val="auto"/>
          <w:spacing w:val="8"/>
          <w:sz w:val="28"/>
          <w:szCs w:val="28"/>
        </w:rPr>
        <w:t xml:space="preserve"> 整改确认</w:t>
      </w:r>
    </w:p>
    <w:p w14:paraId="1CDCE28C">
      <w:pPr>
        <w:autoSpaceDE w:val="0"/>
        <w:autoSpaceDN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整改确认方式分资料确认和现场确认</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由</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与评审组组长沟通，确定整改确认方式</w:t>
      </w:r>
      <w:r>
        <w:rPr>
          <w:rFonts w:hint="default" w:ascii="Times New Roman" w:hAnsi="Times New Roman" w:eastAsia="国标宋体" w:cs="Times New Roman"/>
          <w:color w:val="auto"/>
          <w:spacing w:val="8"/>
          <w:sz w:val="28"/>
          <w:szCs w:val="28"/>
          <w:lang w:eastAsia="zh-CN"/>
        </w:rPr>
        <w:t>。</w:t>
      </w:r>
    </w:p>
    <w:p w14:paraId="42471D3B">
      <w:pPr>
        <w:spacing w:line="360" w:lineRule="auto"/>
        <w:ind w:firstLine="592" w:firstLineChars="200"/>
        <w:outlineLvl w:val="2"/>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rPr>
        <w:t>资料确认：整改方式确定为资料确认的，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应当在规定的期限内将整改见证资料（包括整改报告、不符合项目整改的</w:t>
      </w:r>
      <w:r>
        <w:rPr>
          <w:rFonts w:hint="eastAsia" w:eastAsia="国标宋体" w:cs="Times New Roman"/>
          <w:color w:val="auto"/>
          <w:spacing w:val="8"/>
          <w:sz w:val="28"/>
          <w:szCs w:val="28"/>
          <w:lang w:eastAsia="zh-CN"/>
        </w:rPr>
        <w:t>见证资料</w:t>
      </w:r>
      <w:r>
        <w:rPr>
          <w:rFonts w:hint="default" w:ascii="Times New Roman" w:hAnsi="Times New Roman" w:eastAsia="国标宋体" w:cs="Times New Roman"/>
          <w:color w:val="auto"/>
          <w:spacing w:val="8"/>
          <w:sz w:val="28"/>
          <w:szCs w:val="28"/>
        </w:rPr>
        <w:t>等）补充完整，并递交至评审组。</w:t>
      </w:r>
      <w:r>
        <w:rPr>
          <w:rFonts w:hint="default" w:ascii="Times New Roman" w:hAnsi="Times New Roman" w:eastAsia="国标宋体" w:cs="Times New Roman"/>
          <w:color w:val="auto"/>
          <w:spacing w:val="8"/>
          <w:sz w:val="28"/>
          <w:szCs w:val="28"/>
          <w:lang w:val="en-US" w:eastAsia="zh-CN"/>
        </w:rPr>
        <w:t>申请单位提交整改报告及</w:t>
      </w:r>
      <w:r>
        <w:rPr>
          <w:rFonts w:hint="eastAsia" w:eastAsia="国标宋体" w:cs="Times New Roman"/>
          <w:color w:val="auto"/>
          <w:spacing w:val="8"/>
          <w:sz w:val="28"/>
          <w:szCs w:val="28"/>
          <w:lang w:val="en-US" w:eastAsia="zh-CN"/>
        </w:rPr>
        <w:t>见证资料</w:t>
      </w:r>
      <w:r>
        <w:rPr>
          <w:rFonts w:hint="default" w:ascii="Times New Roman" w:hAnsi="Times New Roman" w:eastAsia="国标宋体" w:cs="Times New Roman"/>
          <w:color w:val="auto"/>
          <w:spacing w:val="8"/>
          <w:sz w:val="28"/>
          <w:szCs w:val="28"/>
          <w:lang w:val="en-US" w:eastAsia="zh-CN"/>
        </w:rPr>
        <w:t>后，评审组应在</w:t>
      </w:r>
      <w:r>
        <w:rPr>
          <w:rFonts w:hint="default" w:ascii="Times New Roman" w:hAnsi="Times New Roman" w:eastAsia="国标宋体" w:cs="Times New Roman"/>
          <w:color w:val="auto"/>
          <w:spacing w:val="8"/>
          <w:sz w:val="28"/>
          <w:szCs w:val="28"/>
          <w:highlight w:val="none"/>
          <w:lang w:val="en-US" w:eastAsia="zh-CN"/>
        </w:rPr>
        <w:t>10</w:t>
      </w:r>
      <w:r>
        <w:rPr>
          <w:rFonts w:hint="default" w:ascii="Times New Roman" w:hAnsi="Times New Roman" w:eastAsia="国标宋体" w:cs="Times New Roman"/>
          <w:color w:val="auto"/>
          <w:spacing w:val="8"/>
          <w:sz w:val="28"/>
          <w:szCs w:val="28"/>
          <w:lang w:val="en-US" w:eastAsia="zh-CN"/>
        </w:rPr>
        <w:t>个工作日内予以确认整改情况。</w:t>
      </w:r>
    </w:p>
    <w:p w14:paraId="508E166E">
      <w:pPr>
        <w:numPr>
          <w:ilvl w:val="-1"/>
          <w:numId w:val="0"/>
        </w:numPr>
        <w:autoSpaceDE w:val="0"/>
        <w:autoSpaceDN w:val="0"/>
        <w:adjustRightInd/>
        <w:snapToGrid w:val="0"/>
        <w:spacing w:line="360" w:lineRule="auto"/>
        <w:ind w:left="0" w:leftChars="0" w:firstLine="592" w:firstLineChars="200"/>
        <w:jc w:val="left"/>
        <w:outlineLvl w:val="9"/>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现场确认：整改方式确定为现场确认的，评审组</w:t>
      </w:r>
      <w:r>
        <w:rPr>
          <w:rFonts w:hint="default" w:ascii="Times New Roman" w:hAnsi="Times New Roman" w:eastAsia="国标宋体" w:cs="Times New Roman"/>
          <w:color w:val="auto"/>
          <w:spacing w:val="8"/>
          <w:sz w:val="28"/>
          <w:szCs w:val="28"/>
          <w:lang w:eastAsia="zh-CN"/>
        </w:rPr>
        <w:t>应向省质量审评中心说明需要现场确认的原因，并在</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w:t>
      </w:r>
      <w:r>
        <w:rPr>
          <w:rFonts w:hint="default" w:ascii="Times New Roman" w:hAnsi="Times New Roman" w:eastAsia="国标宋体" w:cs="Times New Roman"/>
          <w:color w:val="auto"/>
          <w:spacing w:val="8"/>
          <w:sz w:val="28"/>
          <w:szCs w:val="28"/>
          <w:lang w:eastAsia="zh-CN"/>
        </w:rPr>
        <w:t>注明现场确认。申请单位完成相应整改后，与评审组沟通。现场确认时间由评审组和申请单位共同确认。确认以后，评审组向省质量审评中心提出申请，</w:t>
      </w:r>
      <w:r>
        <w:rPr>
          <w:rFonts w:hint="default" w:ascii="Times New Roman" w:hAnsi="Times New Roman" w:eastAsia="国标宋体" w:cs="Times New Roman"/>
          <w:color w:val="auto"/>
          <w:spacing w:val="8"/>
          <w:sz w:val="28"/>
          <w:szCs w:val="28"/>
          <w:lang w:val="en-US" w:eastAsia="zh-CN"/>
        </w:rPr>
        <w:t>根据</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lang w:val="en-US" w:eastAsia="zh-CN"/>
        </w:rPr>
        <w:t>出具的现场确认整改任务书赴</w:t>
      </w:r>
      <w:r>
        <w:rPr>
          <w:rFonts w:hint="default" w:ascii="Times New Roman" w:hAnsi="Times New Roman" w:eastAsia="国标宋体" w:cs="Times New Roman"/>
          <w:color w:val="auto"/>
          <w:spacing w:val="8"/>
          <w:sz w:val="28"/>
          <w:szCs w:val="28"/>
        </w:rPr>
        <w:t>现场审查，在10个工作日内出具整改确认情况意见。不符合整改现场确认程序</w:t>
      </w:r>
      <w:r>
        <w:rPr>
          <w:rFonts w:hint="default" w:ascii="Times New Roman" w:hAnsi="Times New Roman" w:eastAsia="国标宋体" w:cs="Times New Roman"/>
          <w:color w:val="auto"/>
          <w:spacing w:val="8"/>
          <w:sz w:val="28"/>
          <w:szCs w:val="28"/>
          <w:lang w:val="en-US" w:eastAsia="zh-CN"/>
        </w:rPr>
        <w:t>见附录F。</w:t>
      </w:r>
    </w:p>
    <w:p w14:paraId="16D01D3B">
      <w:pPr>
        <w:numPr>
          <w:ilvl w:val="0"/>
          <w:numId w:val="0"/>
        </w:numPr>
        <w:autoSpaceDE/>
        <w:autoSpaceDN/>
        <w:adjustRightInd w:val="0"/>
        <w:snapToGrid w:val="0"/>
        <w:spacing w:line="360" w:lineRule="auto"/>
        <w:ind w:left="-240" w:leftChars="-100" w:firstLine="226" w:firstLineChars="81"/>
        <w:jc w:val="left"/>
        <w:outlineLvl w:val="2"/>
        <w:rPr>
          <w:rFonts w:hint="default" w:ascii="Times New Roman" w:hAnsi="Times New Roman" w:eastAsia="国标宋体" w:cs="Times New Roman"/>
          <w:color w:val="auto"/>
          <w:sz w:val="28"/>
          <w:szCs w:val="22"/>
          <w:lang w:val="en-US" w:eastAsia="zh-CN"/>
        </w:rPr>
      </w:pPr>
    </w:p>
    <w:p w14:paraId="6D56CAD3">
      <w:pPr>
        <w:pStyle w:val="2"/>
        <w:numPr>
          <w:ilvl w:val="0"/>
          <w:numId w:val="1"/>
        </w:numPr>
        <w:snapToGrid w:val="0"/>
        <w:spacing w:line="360" w:lineRule="auto"/>
        <w:jc w:val="left"/>
        <w:rPr>
          <w:rFonts w:hint="default" w:ascii="Times New Roman" w:hAnsi="Times New Roman" w:eastAsia="国标宋体" w:cs="Times New Roman"/>
          <w:color w:val="auto"/>
          <w:sz w:val="28"/>
          <w:szCs w:val="28"/>
          <w:highlight w:val="none"/>
        </w:rPr>
      </w:pPr>
      <w:bookmarkStart w:id="48" w:name="_Toc15079"/>
      <w:bookmarkStart w:id="49" w:name="_Toc19958"/>
      <w:bookmarkStart w:id="50" w:name="_Toc385427443"/>
      <w:bookmarkStart w:id="51" w:name="_Toc24504"/>
      <w:bookmarkStart w:id="52" w:name="_Toc31197"/>
      <w:bookmarkStart w:id="53" w:name="_Toc863189512"/>
      <w:bookmarkStart w:id="54" w:name="_Toc13265"/>
      <w:bookmarkStart w:id="55" w:name="_Toc1158672625"/>
      <w:r>
        <w:rPr>
          <w:rFonts w:hint="default" w:ascii="Times New Roman" w:hAnsi="Times New Roman" w:eastAsia="国标宋体" w:cs="Times New Roman"/>
          <w:color w:val="auto"/>
          <w:sz w:val="28"/>
          <w:szCs w:val="28"/>
          <w:highlight w:val="none"/>
          <w:lang w:eastAsia="zh-CN"/>
        </w:rPr>
        <w:t xml:space="preserve"> </w:t>
      </w:r>
      <w:bookmarkStart w:id="56" w:name="_Toc1561122481"/>
      <w:r>
        <w:rPr>
          <w:rFonts w:hint="default" w:ascii="Times New Roman" w:hAnsi="Times New Roman" w:eastAsia="国标宋体" w:cs="Times New Roman"/>
          <w:color w:val="auto"/>
          <w:sz w:val="28"/>
          <w:szCs w:val="28"/>
          <w:highlight w:val="none"/>
          <w:lang w:eastAsia="zh-CN"/>
        </w:rPr>
        <w:t>迎</w:t>
      </w:r>
      <w:r>
        <w:rPr>
          <w:rFonts w:hint="default" w:ascii="Times New Roman" w:hAnsi="Times New Roman" w:eastAsia="国标宋体" w:cs="Times New Roman"/>
          <w:color w:val="auto"/>
          <w:sz w:val="28"/>
          <w:szCs w:val="28"/>
          <w:highlight w:val="none"/>
        </w:rPr>
        <w:t>审准备</w:t>
      </w:r>
      <w:bookmarkEnd w:id="48"/>
      <w:bookmarkEnd w:id="49"/>
      <w:bookmarkEnd w:id="50"/>
      <w:bookmarkEnd w:id="51"/>
      <w:bookmarkEnd w:id="52"/>
      <w:bookmarkEnd w:id="53"/>
      <w:bookmarkEnd w:id="54"/>
      <w:bookmarkEnd w:id="55"/>
      <w:bookmarkEnd w:id="56"/>
    </w:p>
    <w:p w14:paraId="72E57E6E">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z w:val="28"/>
          <w:szCs w:val="28"/>
          <w:lang w:eastAsia="zh-CN"/>
        </w:rPr>
        <w:t xml:space="preserve"> 资源</w:t>
      </w:r>
      <w:r>
        <w:rPr>
          <w:rFonts w:hint="default" w:ascii="Times New Roman" w:hAnsi="Times New Roman" w:eastAsia="国标宋体" w:cs="Times New Roman"/>
          <w:color w:val="auto"/>
          <w:sz w:val="28"/>
          <w:szCs w:val="28"/>
        </w:rPr>
        <w:t>条件</w:t>
      </w:r>
    </w:p>
    <w:p w14:paraId="6F45A7B4">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1"/>
          <w:sz w:val="28"/>
          <w:szCs w:val="28"/>
        </w:rPr>
      </w:pPr>
      <w:r>
        <w:rPr>
          <w:rFonts w:hint="default" w:ascii="Times New Roman" w:hAnsi="Times New Roman" w:eastAsia="国标宋体" w:cs="Times New Roman"/>
          <w:color w:val="auto"/>
          <w:spacing w:val="-2"/>
          <w:sz w:val="28"/>
          <w:szCs w:val="28"/>
          <w:lang w:eastAsia="zh-CN"/>
        </w:rPr>
        <w:t xml:space="preserve"> 申请单位</w:t>
      </w:r>
      <w:r>
        <w:rPr>
          <w:rFonts w:hint="default" w:ascii="Times New Roman" w:hAnsi="Times New Roman" w:eastAsia="国标宋体" w:cs="Times New Roman"/>
          <w:color w:val="auto"/>
          <w:spacing w:val="-2"/>
          <w:sz w:val="28"/>
          <w:szCs w:val="28"/>
        </w:rPr>
        <w:t>的</w:t>
      </w:r>
      <w:r>
        <w:rPr>
          <w:rFonts w:hint="default" w:ascii="Times New Roman" w:hAnsi="Times New Roman" w:eastAsia="国标宋体" w:cs="Times New Roman"/>
          <w:color w:val="auto"/>
          <w:sz w:val="28"/>
          <w:szCs w:val="28"/>
        </w:rPr>
        <w:t>资</w:t>
      </w:r>
      <w:r>
        <w:rPr>
          <w:rFonts w:hint="default" w:ascii="Times New Roman" w:hAnsi="Times New Roman" w:eastAsia="国标宋体" w:cs="Times New Roman"/>
          <w:color w:val="auto"/>
          <w:spacing w:val="-2"/>
          <w:sz w:val="28"/>
          <w:szCs w:val="28"/>
        </w:rPr>
        <w:t>源条</w:t>
      </w:r>
      <w:r>
        <w:rPr>
          <w:rFonts w:hint="default" w:ascii="Times New Roman" w:hAnsi="Times New Roman" w:eastAsia="国标宋体" w:cs="Times New Roman"/>
          <w:color w:val="auto"/>
          <w:sz w:val="28"/>
          <w:szCs w:val="28"/>
        </w:rPr>
        <w:t>件应</w:t>
      </w:r>
      <w:r>
        <w:rPr>
          <w:rFonts w:hint="default" w:ascii="Times New Roman" w:hAnsi="Times New Roman" w:eastAsia="国标宋体" w:cs="Times New Roman"/>
          <w:color w:val="auto"/>
          <w:spacing w:val="-2"/>
          <w:sz w:val="28"/>
          <w:szCs w:val="28"/>
        </w:rPr>
        <w:t>当</w:t>
      </w:r>
      <w:r>
        <w:rPr>
          <w:rFonts w:hint="default" w:ascii="Times New Roman" w:hAnsi="Times New Roman" w:eastAsia="国标宋体" w:cs="Times New Roman"/>
          <w:color w:val="auto"/>
          <w:sz w:val="28"/>
          <w:szCs w:val="28"/>
        </w:rPr>
        <w:t>满</w:t>
      </w:r>
      <w:r>
        <w:rPr>
          <w:rFonts w:hint="default" w:ascii="Times New Roman" w:hAnsi="Times New Roman" w:eastAsia="国标宋体" w:cs="Times New Roman"/>
          <w:color w:val="auto"/>
          <w:spacing w:val="-2"/>
          <w:sz w:val="28"/>
          <w:szCs w:val="28"/>
        </w:rPr>
        <w:t>足</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》的要求</w:t>
      </w:r>
    </w:p>
    <w:p w14:paraId="24C2ACA7">
      <w:pPr>
        <w:numPr>
          <w:ilvl w:val="2"/>
          <w:numId w:val="4"/>
        </w:numPr>
        <w:autoSpaceDE/>
        <w:autoSpaceDN/>
        <w:adjustRightInd w:val="0"/>
        <w:snapToGrid w:val="0"/>
        <w:spacing w:line="360" w:lineRule="auto"/>
        <w:ind w:firstLine="552" w:firstLineChars="200"/>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 xml:space="preserve"> 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A的要求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352D617D">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 xml:space="preserve"> 质量</w:t>
      </w:r>
      <w:r>
        <w:rPr>
          <w:rFonts w:hint="default" w:ascii="Times New Roman" w:hAnsi="Times New Roman" w:eastAsia="国标宋体" w:cs="Times New Roman"/>
          <w:color w:val="auto"/>
          <w:sz w:val="28"/>
          <w:szCs w:val="28"/>
        </w:rPr>
        <w:t>管理体系</w:t>
      </w:r>
    </w:p>
    <w:p w14:paraId="2C2E4968">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应当按照</w:t>
      </w:r>
      <w:r>
        <w:rPr>
          <w:rFonts w:hint="default" w:ascii="Times New Roman" w:hAnsi="Times New Roman" w:eastAsia="国标宋体" w:cs="Times New Roman"/>
          <w:color w:val="auto"/>
          <w:sz w:val="28"/>
          <w:szCs w:val="28"/>
        </w:rPr>
        <w:t>《核</w:t>
      </w:r>
      <w:r>
        <w:rPr>
          <w:rFonts w:hint="default" w:ascii="Times New Roman" w:hAnsi="Times New Roman" w:eastAsia="国标宋体" w:cs="Times New Roman"/>
          <w:color w:val="auto"/>
          <w:spacing w:val="-2"/>
          <w:sz w:val="28"/>
          <w:szCs w:val="28"/>
        </w:rPr>
        <w:t>准</w:t>
      </w:r>
      <w:r>
        <w:rPr>
          <w:rFonts w:hint="default" w:ascii="Times New Roman" w:hAnsi="Times New Roman" w:eastAsia="国标宋体" w:cs="Times New Roman"/>
          <w:color w:val="auto"/>
          <w:sz w:val="28"/>
          <w:szCs w:val="28"/>
        </w:rPr>
        <w:t>规</w:t>
      </w:r>
      <w:r>
        <w:rPr>
          <w:rFonts w:hint="default" w:ascii="Times New Roman" w:hAnsi="Times New Roman" w:eastAsia="国标宋体" w:cs="Times New Roman"/>
          <w:color w:val="auto"/>
          <w:spacing w:val="-2"/>
          <w:sz w:val="28"/>
          <w:szCs w:val="28"/>
        </w:rPr>
        <w:t>则</w:t>
      </w:r>
      <w:r>
        <w:rPr>
          <w:rFonts w:hint="default" w:ascii="Times New Roman" w:hAnsi="Times New Roman" w:eastAsia="国标宋体" w:cs="Times New Roman"/>
          <w:color w:val="auto"/>
          <w:sz w:val="28"/>
          <w:szCs w:val="28"/>
        </w:rPr>
        <w:t>》</w:t>
      </w:r>
      <w:r>
        <w:rPr>
          <w:rFonts w:hint="default" w:ascii="Times New Roman" w:hAnsi="Times New Roman" w:eastAsia="国标宋体" w:cs="Times New Roman"/>
          <w:color w:val="auto"/>
          <w:spacing w:val="-2"/>
          <w:sz w:val="28"/>
          <w:szCs w:val="28"/>
        </w:rPr>
        <w:t>并结合承担的</w:t>
      </w:r>
      <w:r>
        <w:rPr>
          <w:rFonts w:hint="default" w:ascii="Times New Roman" w:hAnsi="Times New Roman" w:eastAsia="国标宋体" w:cs="Times New Roman"/>
          <w:color w:val="auto"/>
          <w:spacing w:val="-2"/>
          <w:sz w:val="28"/>
          <w:szCs w:val="28"/>
          <w:lang w:eastAsia="zh-CN"/>
        </w:rPr>
        <w:t>检验项目</w:t>
      </w:r>
      <w:r>
        <w:rPr>
          <w:rFonts w:hint="default" w:ascii="Times New Roman" w:hAnsi="Times New Roman" w:eastAsia="国标宋体" w:cs="Times New Roman"/>
          <w:color w:val="auto"/>
          <w:spacing w:val="-2"/>
          <w:sz w:val="28"/>
          <w:szCs w:val="28"/>
        </w:rPr>
        <w:t>特性和本单位实际情况，建立并持续改进质量管理体系，形成文件并在</w:t>
      </w: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内得到贯彻和执行。延续核准单位</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rPr>
        <w:t>体系、人员、设备相关记录，</w:t>
      </w:r>
      <w:r>
        <w:rPr>
          <w:rFonts w:hint="eastAsia" w:ascii="Times New Roman" w:hAnsi="Times New Roman" w:eastAsia="国标宋体" w:cs="Times New Roman"/>
          <w:color w:val="auto"/>
          <w:spacing w:val="-2"/>
          <w:sz w:val="28"/>
          <w:szCs w:val="28"/>
          <w:lang w:eastAsia="zh-CN"/>
        </w:rPr>
        <w:t>这些资料应为</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上一完整核准周期（4 年）</w:t>
      </w:r>
      <w:r>
        <w:rPr>
          <w:rFonts w:hint="default" w:ascii="Times New Roman" w:hAnsi="Times New Roman" w:eastAsia="国标宋体" w:cs="Times New Roman"/>
          <w:color w:val="auto"/>
          <w:spacing w:val="-2"/>
          <w:sz w:val="28"/>
          <w:szCs w:val="28"/>
          <w:lang w:eastAsia="zh-CN"/>
        </w:rPr>
        <w:t>”</w:t>
      </w:r>
      <w:r>
        <w:rPr>
          <w:rFonts w:hint="eastAsia" w:ascii="Times New Roman" w:hAnsi="Times New Roman" w:eastAsia="国标宋体" w:cs="Times New Roman"/>
          <w:color w:val="auto"/>
          <w:spacing w:val="-2"/>
          <w:sz w:val="28"/>
          <w:szCs w:val="28"/>
          <w:lang w:eastAsia="zh-CN"/>
        </w:rPr>
        <w:t>的全流程</w:t>
      </w:r>
      <w:r>
        <w:rPr>
          <w:rFonts w:hint="default" w:ascii="Times New Roman" w:hAnsi="Times New Roman" w:eastAsia="国标宋体" w:cs="Times New Roman"/>
          <w:color w:val="auto"/>
          <w:spacing w:val="-2"/>
          <w:sz w:val="28"/>
          <w:szCs w:val="28"/>
        </w:rPr>
        <w:t>运行资料，涵盖文件修订、内审、管理评审、培训、设备校准等内容。</w:t>
      </w:r>
    </w:p>
    <w:p w14:paraId="769989EF">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B的要求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p>
    <w:p w14:paraId="174FB76E">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建立的质量管理体系应当覆盖</w:t>
      </w:r>
      <w:r>
        <w:rPr>
          <w:rFonts w:hint="default" w:ascii="Times New Roman" w:hAnsi="Times New Roman" w:eastAsia="国标宋体" w:cs="Times New Roman"/>
          <w:color w:val="auto"/>
          <w:spacing w:val="-2"/>
          <w:sz w:val="28"/>
          <w:szCs w:val="28"/>
          <w:lang w:eastAsia="zh-CN"/>
        </w:rPr>
        <w:t>下属单位</w:t>
      </w:r>
      <w:r>
        <w:rPr>
          <w:rFonts w:hint="default" w:ascii="Times New Roman" w:hAnsi="Times New Roman" w:eastAsia="国标宋体" w:cs="Times New Roman"/>
          <w:color w:val="auto"/>
          <w:spacing w:val="-2"/>
          <w:sz w:val="28"/>
          <w:szCs w:val="28"/>
        </w:rPr>
        <w:t>。</w:t>
      </w:r>
    </w:p>
    <w:p w14:paraId="6E21764D">
      <w:pPr>
        <w:numPr>
          <w:ilvl w:val="1"/>
          <w:numId w:val="4"/>
        </w:numPr>
        <w:tabs>
          <w:tab w:val="clear" w:pos="0"/>
        </w:tabs>
        <w:autoSpaceDE/>
        <w:autoSpaceDN/>
        <w:adjustRightInd w:val="0"/>
        <w:snapToGrid w:val="0"/>
        <w:spacing w:line="360" w:lineRule="auto"/>
        <w:ind w:firstLine="560" w:firstLineChars="200"/>
        <w:jc w:val="left"/>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检验能力</w:t>
      </w:r>
    </w:p>
    <w:p w14:paraId="041AC3AC">
      <w:pPr>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rPr>
      </w:pPr>
      <w:r>
        <w:rPr>
          <w:rFonts w:hint="eastAsia" w:eastAsia="国标宋体" w:cs="Times New Roman"/>
          <w:color w:val="auto"/>
          <w:spacing w:val="-2"/>
          <w:sz w:val="28"/>
          <w:szCs w:val="28"/>
          <w:lang w:eastAsia="zh-CN"/>
        </w:rPr>
        <w:t>评审组将按照</w:t>
      </w:r>
      <w:r>
        <w:rPr>
          <w:rFonts w:hint="default" w:ascii="Times New Roman" w:hAnsi="Times New Roman" w:eastAsia="国标宋体" w:cs="Times New Roman"/>
          <w:color w:val="auto"/>
          <w:spacing w:val="-2"/>
          <w:sz w:val="28"/>
          <w:szCs w:val="28"/>
          <w:lang w:eastAsia="zh-CN"/>
        </w:rPr>
        <w:t>附录</w:t>
      </w:r>
      <w:r>
        <w:rPr>
          <w:rFonts w:hint="default" w:ascii="Times New Roman" w:hAnsi="Times New Roman" w:eastAsia="国标宋体" w:cs="Times New Roman"/>
          <w:color w:val="auto"/>
          <w:spacing w:val="-2"/>
          <w:sz w:val="28"/>
          <w:szCs w:val="28"/>
          <w:lang w:val="en-US" w:eastAsia="zh-CN"/>
        </w:rPr>
        <w:t>C的要求</w:t>
      </w:r>
      <w:r>
        <w:rPr>
          <w:rFonts w:hint="eastAsia" w:eastAsia="国标宋体" w:cs="Times New Roman"/>
          <w:color w:val="auto"/>
          <w:spacing w:val="-2"/>
          <w:sz w:val="28"/>
          <w:szCs w:val="28"/>
          <w:lang w:eastAsia="zh-CN"/>
        </w:rPr>
        <w:t>核查</w:t>
      </w:r>
      <w:r>
        <w:rPr>
          <w:rFonts w:hint="default" w:ascii="Times New Roman" w:hAnsi="Times New Roman" w:eastAsia="国标宋体" w:cs="Times New Roman"/>
          <w:color w:val="auto"/>
          <w:spacing w:val="-2"/>
          <w:sz w:val="28"/>
          <w:szCs w:val="28"/>
          <w:lang w:eastAsia="zh-CN"/>
        </w:rPr>
        <w:t>资源条件方面的受评审</w:t>
      </w:r>
      <w:r>
        <w:rPr>
          <w:rFonts w:hint="default" w:ascii="Times New Roman" w:hAnsi="Times New Roman" w:eastAsia="国标宋体" w:cs="Times New Roman"/>
          <w:color w:val="auto"/>
          <w:spacing w:val="-2"/>
          <w:sz w:val="28"/>
          <w:szCs w:val="28"/>
        </w:rPr>
        <w:t>资料</w:t>
      </w:r>
      <w:r>
        <w:rPr>
          <w:rFonts w:hint="default" w:ascii="Times New Roman" w:hAnsi="Times New Roman" w:eastAsia="国标宋体" w:cs="Times New Roman"/>
          <w:color w:val="auto"/>
          <w:spacing w:val="-2"/>
          <w:sz w:val="28"/>
          <w:szCs w:val="28"/>
          <w:lang w:eastAsia="zh-CN"/>
        </w:rPr>
        <w:t>。</w:t>
      </w:r>
    </w:p>
    <w:p w14:paraId="7229947A">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跟踪检验过程</w:t>
      </w:r>
    </w:p>
    <w:p w14:paraId="20AB0B7B">
      <w:pPr>
        <w:widowControl/>
        <w:numPr>
          <w:ilvl w:val="-1"/>
          <w:numId w:val="0"/>
        </w:numPr>
        <w:autoSpaceDE/>
        <w:autoSpaceDN/>
        <w:adjustRightInd w:val="0"/>
        <w:snapToGrid w:val="0"/>
        <w:spacing w:line="360" w:lineRule="auto"/>
        <w:ind w:firstLine="552" w:firstLineChars="200"/>
        <w:jc w:val="left"/>
        <w:rPr>
          <w:rFonts w:hint="default" w:ascii="Times New Roman" w:hAnsi="Times New Roman" w:eastAsia="国标宋体" w:cs="Times New Roman"/>
          <w:color w:val="auto"/>
          <w:spacing w:val="-2"/>
          <w:sz w:val="28"/>
          <w:szCs w:val="28"/>
          <w:lang w:val="en-US" w:eastAsia="zh-CN"/>
        </w:rPr>
      </w:pPr>
      <w:r>
        <w:rPr>
          <w:rFonts w:hint="default" w:ascii="Times New Roman" w:hAnsi="Times New Roman" w:eastAsia="国标宋体" w:cs="Times New Roman"/>
          <w:color w:val="auto"/>
          <w:spacing w:val="-2"/>
          <w:sz w:val="28"/>
          <w:szCs w:val="28"/>
          <w:lang w:eastAsia="zh-CN"/>
        </w:rPr>
        <w:t>申请单位</w:t>
      </w:r>
      <w:r>
        <w:rPr>
          <w:rFonts w:hint="default" w:ascii="Times New Roman" w:hAnsi="Times New Roman" w:eastAsia="国标宋体" w:cs="Times New Roman"/>
          <w:color w:val="auto"/>
          <w:spacing w:val="-2"/>
          <w:sz w:val="28"/>
          <w:szCs w:val="28"/>
        </w:rPr>
        <w:t>应当</w:t>
      </w:r>
      <w:r>
        <w:rPr>
          <w:rFonts w:hint="default" w:ascii="Times New Roman" w:hAnsi="Times New Roman" w:eastAsia="国标宋体" w:cs="Times New Roman"/>
          <w:color w:val="auto"/>
          <w:spacing w:val="-2"/>
          <w:sz w:val="28"/>
          <w:szCs w:val="28"/>
          <w:lang w:eastAsia="zh-CN"/>
        </w:rPr>
        <w:t>提前做好</w:t>
      </w:r>
      <w:r>
        <w:rPr>
          <w:rFonts w:hint="default" w:ascii="Times New Roman" w:hAnsi="Times New Roman" w:eastAsia="国标宋体" w:cs="Times New Roman"/>
          <w:color w:val="auto"/>
          <w:spacing w:val="-2"/>
          <w:sz w:val="28"/>
          <w:szCs w:val="28"/>
        </w:rPr>
        <w:t>相关项目的前期准备工作</w:t>
      </w:r>
      <w:r>
        <w:rPr>
          <w:rFonts w:hint="default" w:ascii="Times New Roman" w:hAnsi="Times New Roman" w:eastAsia="国标宋体" w:cs="Times New Roman"/>
          <w:color w:val="auto"/>
          <w:spacing w:val="-2"/>
          <w:sz w:val="28"/>
          <w:szCs w:val="28"/>
          <w:lang w:val="en-US" w:eastAsia="zh-CN"/>
        </w:rPr>
        <w:t>。</w:t>
      </w:r>
    </w:p>
    <w:p w14:paraId="5863001F">
      <w:pPr>
        <w:widowControl/>
        <w:numPr>
          <w:ilvl w:val="2"/>
          <w:numId w:val="4"/>
        </w:numPr>
        <w:autoSpaceDE/>
        <w:autoSpaceDN/>
        <w:adjustRightInd w:val="0"/>
        <w:snapToGrid w:val="0"/>
        <w:spacing w:line="360" w:lineRule="auto"/>
        <w:ind w:firstLine="592" w:firstLineChars="200"/>
        <w:jc w:val="left"/>
        <w:outlineLvl w:val="2"/>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采信能力验证</w:t>
      </w:r>
      <w:r>
        <w:rPr>
          <w:rFonts w:hint="default" w:ascii="Times New Roman" w:hAnsi="Times New Roman" w:eastAsia="国标宋体" w:cs="Times New Roman"/>
          <w:color w:val="auto"/>
          <w:spacing w:val="8"/>
          <w:sz w:val="28"/>
          <w:szCs w:val="28"/>
          <w:lang w:val="en-US" w:eastAsia="zh-CN"/>
        </w:rPr>
        <w:t>结果</w:t>
      </w:r>
    </w:p>
    <w:p w14:paraId="1416F043">
      <w:pPr>
        <w:widowControl/>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首次核准和增项核准的，</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lang w:val="en-US" w:eastAsia="zh-CN"/>
        </w:rPr>
        <w:t>可</w:t>
      </w:r>
      <w:r>
        <w:rPr>
          <w:rFonts w:hint="default" w:ascii="Times New Roman" w:hAnsi="Times New Roman" w:eastAsia="国标宋体" w:cs="Times New Roman"/>
          <w:color w:val="auto"/>
          <w:spacing w:val="8"/>
          <w:sz w:val="28"/>
          <w:szCs w:val="28"/>
        </w:rPr>
        <w:t>在现场鉴定评审前完成申请项目的采信能力验证工作，</w:t>
      </w:r>
      <w:r>
        <w:rPr>
          <w:rFonts w:hint="eastAsia" w:eastAsia="国标宋体" w:cs="Times New Roman"/>
          <w:color w:val="auto"/>
          <w:spacing w:val="8"/>
          <w:sz w:val="28"/>
          <w:szCs w:val="28"/>
          <w:lang w:eastAsia="zh-CN"/>
        </w:rPr>
        <w:t>由评审组现场核查</w:t>
      </w:r>
      <w:r>
        <w:rPr>
          <w:rFonts w:hint="default" w:ascii="Times New Roman" w:hAnsi="Times New Roman" w:eastAsia="国标宋体" w:cs="Times New Roman"/>
          <w:color w:val="auto"/>
          <w:spacing w:val="8"/>
          <w:sz w:val="28"/>
          <w:szCs w:val="28"/>
        </w:rPr>
        <w:t>采信能力验证结果。</w:t>
      </w:r>
    </w:p>
    <w:p w14:paraId="4AEFD742">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lang w:eastAsia="zh-CN"/>
        </w:rPr>
        <w:t>报告评价</w:t>
      </w:r>
    </w:p>
    <w:p w14:paraId="27405EF3">
      <w:pPr>
        <w:spacing w:line="360" w:lineRule="auto"/>
        <w:ind w:firstLine="452"/>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采用报告评价的，</w:t>
      </w:r>
      <w:r>
        <w:rPr>
          <w:rFonts w:hint="eastAsia" w:eastAsia="国标宋体" w:cs="Times New Roman"/>
          <w:color w:val="auto"/>
          <w:spacing w:val="-2"/>
          <w:sz w:val="28"/>
          <w:szCs w:val="28"/>
          <w:lang w:eastAsia="zh-CN"/>
        </w:rPr>
        <w:t>评审组</w:t>
      </w:r>
      <w:r>
        <w:rPr>
          <w:rFonts w:hint="default" w:ascii="Times New Roman" w:hAnsi="Times New Roman" w:eastAsia="国标宋体" w:cs="Times New Roman"/>
          <w:color w:val="auto"/>
          <w:spacing w:val="8"/>
          <w:sz w:val="28"/>
          <w:szCs w:val="28"/>
          <w:lang w:eastAsia="zh-CN"/>
        </w:rPr>
        <w:t>按照附录</w:t>
      </w:r>
      <w:r>
        <w:rPr>
          <w:rFonts w:hint="default" w:ascii="Times New Roman" w:hAnsi="Times New Roman" w:eastAsia="国标宋体" w:cs="Times New Roman"/>
          <w:color w:val="auto"/>
          <w:spacing w:val="9"/>
          <w:sz w:val="28"/>
          <w:szCs w:val="28"/>
        </w:rPr>
        <w:t>C</w:t>
      </w:r>
      <w:r>
        <w:rPr>
          <w:rFonts w:hint="default" w:ascii="Times New Roman" w:hAnsi="Times New Roman" w:eastAsia="国标宋体" w:cs="Times New Roman"/>
          <w:color w:val="auto"/>
          <w:spacing w:val="9"/>
          <w:sz w:val="28"/>
          <w:szCs w:val="28"/>
          <w:lang w:val="en-US" w:eastAsia="zh-CN"/>
        </w:rPr>
        <w:t xml:space="preserve"> </w:t>
      </w:r>
      <w:r>
        <w:rPr>
          <w:rFonts w:hint="default" w:ascii="Times New Roman" w:hAnsi="Times New Roman" w:eastAsia="国标宋体" w:cs="Times New Roman"/>
          <w:color w:val="auto"/>
          <w:spacing w:val="9"/>
          <w:sz w:val="28"/>
          <w:szCs w:val="28"/>
        </w:rPr>
        <w:t>3.1</w:t>
      </w:r>
      <w:r>
        <w:rPr>
          <w:rFonts w:hint="default" w:ascii="Times New Roman" w:hAnsi="Times New Roman" w:eastAsia="国标宋体" w:cs="Times New Roman"/>
          <w:color w:val="auto"/>
          <w:spacing w:val="9"/>
          <w:sz w:val="28"/>
          <w:szCs w:val="28"/>
          <w:lang w:eastAsia="zh-CN"/>
        </w:rPr>
        <w:t>的要求</w:t>
      </w:r>
      <w:r>
        <w:rPr>
          <w:rFonts w:hint="default" w:ascii="Times New Roman" w:hAnsi="Times New Roman" w:eastAsia="国标宋体" w:cs="Times New Roman"/>
          <w:color w:val="auto"/>
          <w:spacing w:val="8"/>
          <w:sz w:val="28"/>
          <w:szCs w:val="28"/>
        </w:rPr>
        <w:t>在现场</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检验报告及相应的记录，</w:t>
      </w:r>
      <w:r>
        <w:rPr>
          <w:rFonts w:hint="eastAsia" w:eastAsia="国标宋体" w:cs="Times New Roman"/>
          <w:color w:val="auto"/>
          <w:spacing w:val="8"/>
          <w:sz w:val="28"/>
          <w:szCs w:val="28"/>
          <w:lang w:eastAsia="zh-CN"/>
        </w:rPr>
        <w:t>核查的报告</w:t>
      </w:r>
      <w:r>
        <w:rPr>
          <w:rFonts w:hint="default" w:ascii="Times New Roman" w:hAnsi="Times New Roman" w:eastAsia="国标宋体" w:cs="Times New Roman"/>
          <w:color w:val="auto"/>
          <w:spacing w:val="8"/>
          <w:sz w:val="28"/>
          <w:szCs w:val="28"/>
        </w:rPr>
        <w:t>由评审组长现场抽取。检验报告应当覆盖核准的所有项目。</w:t>
      </w:r>
    </w:p>
    <w:p w14:paraId="095169AD">
      <w:pPr>
        <w:numPr>
          <w:ilvl w:val="2"/>
          <w:numId w:val="4"/>
        </w:numPr>
        <w:autoSpaceDE/>
        <w:autoSpaceDN/>
        <w:adjustRightInd w:val="0"/>
        <w:snapToGrid w:val="0"/>
        <w:spacing w:line="360" w:lineRule="auto"/>
        <w:ind w:firstLine="552" w:firstLineChars="200"/>
        <w:outlineLvl w:val="2"/>
        <w:rPr>
          <w:rFonts w:hint="default" w:ascii="Times New Roman" w:hAnsi="Times New Roman" w:eastAsia="国标宋体" w:cs="Times New Roman"/>
          <w:color w:val="auto"/>
          <w:spacing w:val="-2"/>
          <w:sz w:val="28"/>
          <w:szCs w:val="28"/>
        </w:rPr>
      </w:pPr>
      <w:r>
        <w:rPr>
          <w:rFonts w:hint="default" w:ascii="Times New Roman" w:hAnsi="Times New Roman" w:eastAsia="国标宋体" w:cs="Times New Roman"/>
          <w:color w:val="auto"/>
          <w:spacing w:val="-2"/>
          <w:sz w:val="28"/>
          <w:szCs w:val="28"/>
        </w:rPr>
        <w:t>其他文件资料（适用于延续核准）</w:t>
      </w:r>
    </w:p>
    <w:p w14:paraId="14C281CA">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法定代表人、</w:t>
      </w:r>
      <w:r>
        <w:rPr>
          <w:rFonts w:hint="default" w:ascii="Times New Roman" w:hAnsi="Times New Roman" w:eastAsia="国标宋体" w:cs="Times New Roman"/>
          <w:color w:val="auto"/>
          <w:spacing w:val="8"/>
          <w:sz w:val="28"/>
          <w:szCs w:val="28"/>
          <w:lang w:eastAsia="zh-CN"/>
        </w:rPr>
        <w:t>负责人</w:t>
      </w:r>
      <w:r>
        <w:rPr>
          <w:rFonts w:hint="default" w:ascii="Times New Roman" w:hAnsi="Times New Roman" w:eastAsia="国标宋体" w:cs="Times New Roman"/>
          <w:color w:val="auto"/>
          <w:spacing w:val="8"/>
          <w:sz w:val="28"/>
          <w:szCs w:val="28"/>
        </w:rPr>
        <w:t>、技术负责人、质量负责人、责任师的变更情况。</w:t>
      </w:r>
    </w:p>
    <w:p w14:paraId="49C7C6C7">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在上一核准周期内</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名称、地址、所有制形式、隶属关系、</w:t>
      </w:r>
      <w:r>
        <w:rPr>
          <w:rFonts w:hint="eastAsia" w:ascii="Times New Roman" w:hAnsi="Times New Roman" w:eastAsia="国标宋体" w:cs="Times New Roman"/>
          <w:color w:val="auto"/>
          <w:spacing w:val="8"/>
          <w:sz w:val="28"/>
          <w:szCs w:val="28"/>
          <w:lang w:eastAsia="zh-CN"/>
        </w:rPr>
        <w:t>下属单位</w:t>
      </w:r>
      <w:r>
        <w:rPr>
          <w:rFonts w:hint="default" w:ascii="Times New Roman" w:hAnsi="Times New Roman" w:eastAsia="国标宋体" w:cs="Times New Roman"/>
          <w:color w:val="auto"/>
          <w:spacing w:val="8"/>
          <w:sz w:val="28"/>
          <w:szCs w:val="28"/>
        </w:rPr>
        <w:t xml:space="preserve">的变更情况。 </w:t>
      </w:r>
    </w:p>
    <w:p w14:paraId="740A3157">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在上一次鉴定评审中评审机构出具的《</w:t>
      </w:r>
      <w:r>
        <w:rPr>
          <w:rFonts w:hint="default" w:ascii="Times New Roman" w:hAnsi="Times New Roman" w:eastAsia="国标宋体" w:cs="Times New Roman"/>
          <w:color w:val="auto"/>
          <w:spacing w:val="8"/>
          <w:sz w:val="28"/>
          <w:szCs w:val="28"/>
          <w:lang w:eastAsia="zh-CN"/>
        </w:rPr>
        <w:t>特种设备检验机构核准鉴定评审工作备忘录</w:t>
      </w:r>
      <w:r>
        <w:rPr>
          <w:rFonts w:hint="default" w:ascii="Times New Roman" w:hAnsi="Times New Roman" w:eastAsia="国标宋体" w:cs="Times New Roman"/>
          <w:color w:val="auto"/>
          <w:spacing w:val="8"/>
          <w:sz w:val="28"/>
          <w:szCs w:val="28"/>
        </w:rPr>
        <w:t>》或《特种设备鉴定评审不符合项通知书》。</w:t>
      </w:r>
    </w:p>
    <w:p w14:paraId="61CF74EE">
      <w:pPr>
        <w:spacing w:line="360" w:lineRule="auto"/>
        <w:ind w:firstLine="452"/>
        <w:jc w:val="left"/>
        <w:rPr>
          <w:rFonts w:hint="default" w:ascii="Times New Roman" w:hAnsi="Times New Roman" w:eastAsia="国标宋体" w:cs="Times New Roman"/>
          <w:color w:val="auto"/>
          <w:spacing w:val="8"/>
          <w:sz w:val="28"/>
          <w:szCs w:val="28"/>
          <w:highlight w:val="none"/>
        </w:rPr>
      </w:pPr>
      <w:r>
        <w:rPr>
          <w:rFonts w:hint="eastAsia" w:eastAsia="国标宋体" w:cs="Times New Roman"/>
          <w:color w:val="auto"/>
          <w:spacing w:val="8"/>
          <w:sz w:val="28"/>
          <w:szCs w:val="28"/>
          <w:highlight w:val="none"/>
          <w:lang w:eastAsia="zh-CN"/>
        </w:rPr>
        <w:t>——</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highlight w:val="none"/>
        </w:rPr>
        <w:t>在上一核准周期内</w:t>
      </w:r>
      <w:r>
        <w:rPr>
          <w:rFonts w:hint="default" w:ascii="Times New Roman" w:hAnsi="Times New Roman" w:eastAsia="国标宋体" w:cs="Times New Roman"/>
          <w:color w:val="auto"/>
          <w:spacing w:val="8"/>
          <w:sz w:val="28"/>
          <w:szCs w:val="28"/>
          <w:highlight w:val="none"/>
          <w:lang w:val="en-US" w:eastAsia="zh-CN"/>
        </w:rPr>
        <w:t>申请单位接受特种设备安全监察部门监督检查、证后抽查、行政处罚等与特种设备安全监察部门监督管理活动相关的记录。</w:t>
      </w:r>
    </w:p>
    <w:p w14:paraId="154FAA2F">
      <w:pPr>
        <w:pStyle w:val="2"/>
        <w:numPr>
          <w:ilvl w:val="0"/>
          <w:numId w:val="1"/>
        </w:numPr>
        <w:snapToGrid w:val="0"/>
        <w:spacing w:line="360" w:lineRule="auto"/>
        <w:jc w:val="left"/>
        <w:rPr>
          <w:rFonts w:hint="default" w:ascii="Times New Roman" w:hAnsi="Times New Roman" w:eastAsia="国标宋体" w:cs="Times New Roman"/>
          <w:color w:val="auto"/>
          <w:sz w:val="28"/>
          <w:szCs w:val="28"/>
          <w:highlight w:val="none"/>
          <w:lang w:eastAsia="zh-CN"/>
        </w:rPr>
      </w:pPr>
      <w:bookmarkStart w:id="57" w:name="_Toc24672"/>
      <w:bookmarkStart w:id="58" w:name="_Toc584892987"/>
      <w:bookmarkStart w:id="59" w:name="_Toc12209"/>
      <w:bookmarkStart w:id="60" w:name="_Toc26684"/>
      <w:bookmarkStart w:id="61" w:name="_Toc697965791"/>
      <w:bookmarkStart w:id="62" w:name="_Toc1131828894"/>
      <w:bookmarkStart w:id="63" w:name="_Toc6100"/>
      <w:bookmarkStart w:id="64" w:name="_Toc3053"/>
      <w:bookmarkStart w:id="65" w:name="_Toc83596917"/>
      <w:r>
        <w:rPr>
          <w:rFonts w:hint="eastAsia" w:eastAsia="国标宋体" w:cs="Times New Roman"/>
          <w:color w:val="auto"/>
          <w:sz w:val="28"/>
          <w:szCs w:val="28"/>
          <w:highlight w:val="none"/>
          <w:lang w:val="en-US" w:eastAsia="zh-CN"/>
        </w:rPr>
        <w:t xml:space="preserve"> </w:t>
      </w:r>
      <w:r>
        <w:rPr>
          <w:rFonts w:hint="default" w:ascii="Times New Roman" w:hAnsi="Times New Roman" w:eastAsia="国标宋体" w:cs="Times New Roman"/>
          <w:color w:val="auto"/>
          <w:sz w:val="28"/>
          <w:szCs w:val="28"/>
          <w:highlight w:val="none"/>
          <w:lang w:eastAsia="zh-CN"/>
        </w:rPr>
        <w:t>现场鉴定评审的配合事项</w:t>
      </w:r>
      <w:bookmarkEnd w:id="57"/>
      <w:bookmarkEnd w:id="58"/>
      <w:bookmarkEnd w:id="59"/>
      <w:bookmarkEnd w:id="60"/>
      <w:bookmarkEnd w:id="61"/>
      <w:bookmarkEnd w:id="62"/>
      <w:bookmarkEnd w:id="63"/>
      <w:bookmarkEnd w:id="64"/>
      <w:bookmarkEnd w:id="65"/>
    </w:p>
    <w:p w14:paraId="68CA87F3">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接</w:t>
      </w:r>
      <w:r>
        <w:rPr>
          <w:rFonts w:hint="default" w:ascii="Times New Roman" w:hAnsi="Times New Roman" w:eastAsia="国标宋体" w:cs="Times New Roman"/>
          <w:color w:val="auto"/>
          <w:spacing w:val="8"/>
          <w:sz w:val="28"/>
          <w:szCs w:val="28"/>
        </w:rPr>
        <w:t>到</w:t>
      </w:r>
      <w:r>
        <w:rPr>
          <w:rFonts w:hint="default" w:ascii="Times New Roman" w:hAnsi="Times New Roman" w:eastAsia="国标宋体" w:cs="Times New Roman"/>
          <w:color w:val="auto"/>
          <w:spacing w:val="8"/>
          <w:sz w:val="28"/>
          <w:szCs w:val="28"/>
          <w:lang w:eastAsia="zh-CN"/>
        </w:rPr>
        <w:t>省质量审评中心</w:t>
      </w:r>
      <w:r>
        <w:rPr>
          <w:rFonts w:hint="default" w:ascii="Times New Roman" w:hAnsi="Times New Roman" w:eastAsia="国标宋体" w:cs="Times New Roman"/>
          <w:color w:val="auto"/>
          <w:spacing w:val="8"/>
          <w:sz w:val="28"/>
          <w:szCs w:val="28"/>
        </w:rPr>
        <w:t>发出的现场鉴定评审通知函后，</w:t>
      </w:r>
      <w:r>
        <w:rPr>
          <w:rFonts w:hint="default" w:ascii="Times New Roman" w:hAnsi="Times New Roman" w:eastAsia="国标宋体" w:cs="Times New Roman"/>
          <w:color w:val="auto"/>
          <w:spacing w:val="8"/>
          <w:sz w:val="28"/>
          <w:szCs w:val="28"/>
          <w:lang w:eastAsia="zh-CN"/>
        </w:rPr>
        <w:t>申请单位</w:t>
      </w:r>
      <w:r>
        <w:rPr>
          <w:rFonts w:hint="default" w:ascii="Times New Roman" w:hAnsi="Times New Roman" w:eastAsia="国标宋体" w:cs="Times New Roman"/>
          <w:color w:val="auto"/>
          <w:spacing w:val="8"/>
          <w:sz w:val="28"/>
          <w:szCs w:val="28"/>
        </w:rPr>
        <w:t>应当及时与</w:t>
      </w:r>
      <w:r>
        <w:rPr>
          <w:rFonts w:hint="default" w:ascii="Times New Roman" w:hAnsi="Times New Roman" w:eastAsia="国标宋体" w:cs="Times New Roman"/>
          <w:color w:val="auto"/>
          <w:spacing w:val="8"/>
          <w:sz w:val="28"/>
          <w:szCs w:val="28"/>
          <w:lang w:eastAsia="zh-CN"/>
        </w:rPr>
        <w:t>属地</w:t>
      </w:r>
      <w:r>
        <w:rPr>
          <w:rFonts w:hint="default" w:ascii="Times New Roman" w:hAnsi="Times New Roman" w:eastAsia="国标宋体" w:cs="Times New Roman"/>
          <w:color w:val="auto"/>
          <w:spacing w:val="8"/>
          <w:sz w:val="28"/>
          <w:szCs w:val="28"/>
        </w:rPr>
        <w:t>特种设备监督管理部门联系，以便其对鉴定评审工作进行现场监督。</w:t>
      </w:r>
    </w:p>
    <w:p w14:paraId="1AFB388E">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应当根据评审组长的要求，做好预备会议、首次会议、总结会议的准备工作。</w:t>
      </w:r>
    </w:p>
    <w:p w14:paraId="1D3DC832">
      <w:pPr>
        <w:numPr>
          <w:ilvl w:val="1"/>
          <w:numId w:val="5"/>
        </w:numPr>
        <w:tabs>
          <w:tab w:val="clear" w:pos="0"/>
        </w:tabs>
        <w:autoSpaceDE/>
        <w:autoSpaceDN/>
        <w:adjustRightInd w:val="0"/>
        <w:snapToGrid w:val="0"/>
        <w:spacing w:line="360" w:lineRule="auto"/>
        <w:ind w:firstLine="560" w:firstLineChars="200"/>
        <w:outlineLvl w:val="1"/>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pacing w:val="8"/>
          <w:sz w:val="28"/>
          <w:szCs w:val="28"/>
        </w:rPr>
        <w:t>应当准备首次会议的汇报材料，并按评审组人数准备质量管理体系文件。</w:t>
      </w:r>
    </w:p>
    <w:p w14:paraId="77D4FAC6">
      <w:pPr>
        <w:numPr>
          <w:ilvl w:val="1"/>
          <w:numId w:val="5"/>
        </w:numPr>
        <w:tabs>
          <w:tab w:val="clear" w:pos="0"/>
        </w:tabs>
        <w:autoSpaceDE/>
        <w:autoSpaceDN/>
        <w:adjustRightInd w:val="0"/>
        <w:snapToGrid w:val="0"/>
        <w:spacing w:before="0" w:line="360" w:lineRule="auto"/>
        <w:ind w:firstLine="560" w:firstLineChars="200"/>
        <w:outlineLvl w:val="1"/>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按</w:t>
      </w:r>
      <w:r>
        <w:rPr>
          <w:rFonts w:hint="default" w:ascii="Times New Roman" w:hAnsi="Times New Roman" w:eastAsia="国标宋体" w:cs="Times New Roman"/>
          <w:color w:val="auto"/>
          <w:spacing w:val="0"/>
          <w:sz w:val="28"/>
          <w:szCs w:val="28"/>
        </w:rPr>
        <w:t>评审组的要求，完成其他事宜的配合工作。</w:t>
      </w:r>
    </w:p>
    <w:p w14:paraId="7B902B35">
      <w:pPr>
        <w:pStyle w:val="2"/>
        <w:numPr>
          <w:ilvl w:val="0"/>
          <w:numId w:val="1"/>
        </w:numPr>
        <w:autoSpaceDE/>
        <w:autoSpaceDN/>
        <w:adjustRightInd/>
        <w:snapToGrid/>
        <w:spacing w:before="0" w:line="360" w:lineRule="auto"/>
        <w:ind w:firstLine="0" w:firstLineChars="0"/>
        <w:rPr>
          <w:rFonts w:hint="default" w:ascii="Times New Roman" w:hAnsi="Times New Roman" w:eastAsia="国标宋体" w:cs="Times New Roman"/>
          <w:color w:val="auto"/>
          <w:sz w:val="28"/>
          <w:szCs w:val="28"/>
        </w:rPr>
      </w:pPr>
      <w:bookmarkStart w:id="66" w:name="_Toc20612"/>
      <w:bookmarkStart w:id="67" w:name="_Toc1750951789"/>
      <w:bookmarkStart w:id="68" w:name="_Toc1396437469"/>
      <w:bookmarkStart w:id="69" w:name="_Toc1725293500"/>
      <w:bookmarkStart w:id="70" w:name="_Toc224092062"/>
      <w:r>
        <w:rPr>
          <w:rFonts w:hint="default" w:ascii="Times New Roman" w:hAnsi="Times New Roman" w:eastAsia="国标宋体" w:cs="Times New Roman"/>
          <w:color w:val="auto"/>
          <w:sz w:val="28"/>
          <w:szCs w:val="28"/>
        </w:rPr>
        <w:t>鉴定评审报告</w:t>
      </w:r>
      <w:bookmarkEnd w:id="66"/>
      <w:r>
        <w:rPr>
          <w:rFonts w:hint="default" w:ascii="Times New Roman" w:hAnsi="Times New Roman" w:eastAsia="国标宋体" w:cs="Times New Roman"/>
          <w:color w:val="auto"/>
          <w:sz w:val="28"/>
          <w:szCs w:val="28"/>
          <w:lang w:val="en-US" w:eastAsia="zh-CN"/>
        </w:rPr>
        <w:t>及过程抽查</w:t>
      </w:r>
      <w:bookmarkEnd w:id="67"/>
      <w:bookmarkEnd w:id="68"/>
      <w:bookmarkEnd w:id="69"/>
      <w:bookmarkEnd w:id="70"/>
    </w:p>
    <w:p w14:paraId="2A209DF9">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lang w:eastAsia="zh-CN"/>
        </w:rPr>
      </w:pPr>
      <w:r>
        <w:rPr>
          <w:rFonts w:hint="default" w:ascii="Times New Roman" w:hAnsi="Times New Roman" w:eastAsia="国标宋体" w:cs="Times New Roman"/>
          <w:color w:val="auto"/>
          <w:spacing w:val="8"/>
          <w:sz w:val="28"/>
          <w:szCs w:val="28"/>
          <w:lang w:val="en-US" w:eastAsia="zh-CN"/>
        </w:rPr>
        <w:t>8.1</w:t>
      </w:r>
      <w:r>
        <w:rPr>
          <w:rFonts w:hint="eastAsia" w:ascii="Times New Roman" w:hAnsi="Times New Roman" w:eastAsia="国标宋体" w:cs="Times New Roman"/>
          <w:color w:val="auto"/>
          <w:spacing w:val="8"/>
          <w:sz w:val="28"/>
          <w:szCs w:val="28"/>
          <w:lang w:val="en-US" w:eastAsia="zh-CN"/>
        </w:rPr>
        <w:t xml:space="preserve"> </w:t>
      </w:r>
      <w:r>
        <w:rPr>
          <w:rFonts w:hint="default" w:ascii="Times New Roman" w:hAnsi="Times New Roman" w:eastAsia="国标宋体" w:cs="Times New Roman"/>
          <w:color w:val="auto"/>
          <w:spacing w:val="8"/>
          <w:sz w:val="28"/>
          <w:szCs w:val="28"/>
        </w:rPr>
        <w:t>鉴定评审工作结束后，鉴定评审组长根据现场评审人员填写的《评审</w:t>
      </w:r>
      <w:r>
        <w:rPr>
          <w:rFonts w:hint="default" w:ascii="Times New Roman" w:hAnsi="Times New Roman" w:eastAsia="国标宋体" w:cs="Times New Roman"/>
          <w:color w:val="auto"/>
          <w:spacing w:val="8"/>
          <w:sz w:val="28"/>
          <w:szCs w:val="28"/>
          <w:highlight w:val="none"/>
        </w:rPr>
        <w:t>记录》和</w:t>
      </w:r>
      <w:r>
        <w:rPr>
          <w:rFonts w:hint="default" w:ascii="Times New Roman" w:hAnsi="Times New Roman" w:eastAsia="国标宋体" w:cs="Times New Roman"/>
          <w:color w:val="auto"/>
          <w:spacing w:val="8"/>
          <w:sz w:val="28"/>
          <w:szCs w:val="28"/>
          <w:highlight w:val="none"/>
          <w:lang w:eastAsia="zh-CN"/>
        </w:rPr>
        <w:t>申请单位</w:t>
      </w:r>
      <w:r>
        <w:rPr>
          <w:rFonts w:hint="default" w:ascii="Times New Roman" w:hAnsi="Times New Roman" w:eastAsia="国标宋体" w:cs="Times New Roman"/>
          <w:color w:val="auto"/>
          <w:spacing w:val="8"/>
          <w:sz w:val="28"/>
          <w:szCs w:val="28"/>
          <w:highlight w:val="none"/>
        </w:rPr>
        <w:t>提交的整改报告等及时编制鉴定评审报告</w:t>
      </w:r>
      <w:r>
        <w:rPr>
          <w:rFonts w:hint="default" w:ascii="Times New Roman" w:hAnsi="Times New Roman" w:eastAsia="国标宋体" w:cs="Times New Roman"/>
          <w:color w:val="auto"/>
          <w:spacing w:val="8"/>
          <w:sz w:val="28"/>
          <w:szCs w:val="28"/>
          <w:highlight w:val="none"/>
          <w:lang w:eastAsia="zh-CN"/>
        </w:rPr>
        <w:t>。</w:t>
      </w:r>
    </w:p>
    <w:p w14:paraId="1D60E39B">
      <w:pPr>
        <w:widowControl/>
        <w:numPr>
          <w:ilvl w:val="-1"/>
          <w:numId w:val="0"/>
        </w:numPr>
        <w:adjustRightInd w:val="0"/>
        <w:snapToGrid w:val="0"/>
        <w:spacing w:before="0" w:line="360" w:lineRule="auto"/>
        <w:ind w:firstLine="479" w:firstLineChars="162"/>
        <w:jc w:val="left"/>
        <w:outlineLvl w:val="1"/>
        <w:rPr>
          <w:rFonts w:hint="default" w:ascii="Times New Roman" w:hAnsi="Times New Roman" w:eastAsia="国标宋体" w:cs="Times New Roman"/>
          <w:color w:val="auto"/>
          <w:spacing w:val="8"/>
          <w:sz w:val="28"/>
          <w:szCs w:val="28"/>
          <w:highlight w:val="none"/>
          <w:lang w:val="en-US" w:eastAsia="zh-CN"/>
        </w:rPr>
      </w:pPr>
      <w:r>
        <w:rPr>
          <w:rFonts w:hint="default" w:ascii="Times New Roman" w:hAnsi="Times New Roman" w:eastAsia="国标宋体" w:cs="Times New Roman"/>
          <w:color w:val="auto"/>
          <w:spacing w:val="8"/>
          <w:sz w:val="28"/>
          <w:szCs w:val="28"/>
          <w:highlight w:val="none"/>
          <w:lang w:val="en-US" w:eastAsia="zh-CN"/>
        </w:rPr>
        <w:t>8.2</w:t>
      </w:r>
      <w:r>
        <w:rPr>
          <w:rFonts w:hint="eastAsia" w:ascii="Times New Roman" w:hAnsi="Times New Roman" w:eastAsia="国标宋体" w:cs="Times New Roman"/>
          <w:color w:val="auto"/>
          <w:spacing w:val="8"/>
          <w:sz w:val="28"/>
          <w:szCs w:val="28"/>
          <w:highlight w:val="none"/>
          <w:lang w:val="en-US" w:eastAsia="zh-CN"/>
        </w:rPr>
        <w:t xml:space="preserve"> 特种设备</w:t>
      </w:r>
      <w:r>
        <w:rPr>
          <w:rFonts w:hint="default" w:ascii="Times New Roman" w:hAnsi="Times New Roman" w:eastAsia="国标宋体" w:cs="Times New Roman"/>
          <w:color w:val="auto"/>
          <w:spacing w:val="8"/>
          <w:sz w:val="28"/>
          <w:szCs w:val="28"/>
          <w:highlight w:val="none"/>
        </w:rPr>
        <w:t>安全监察机构依法对本次鉴定评审全过程实施监督管理。监察机构可结合工作需要，调取评审档案资料，并采取现场复现式抽查方式开展核查：随机抽取已评审事项、检验项目、人员能力、体系运行、设备工况等内容，现场复现评审流程与核查要点；针对抽查查实的问题，由评审机构牵头开展全面复核，按照法规及评审规则要求形成正式复核结论。</w:t>
      </w:r>
    </w:p>
    <w:p w14:paraId="4E0EEDF1">
      <w:pPr>
        <w:numPr>
          <w:ilvl w:val="-1"/>
          <w:numId w:val="0"/>
        </w:numPr>
        <w:autoSpaceDE/>
        <w:autoSpaceDN/>
        <w:adjustRightInd w:val="0"/>
        <w:snapToGrid w:val="0"/>
        <w:spacing w:before="0" w:line="360" w:lineRule="auto"/>
        <w:ind w:leftChars="0" w:firstLine="479" w:firstLineChars="162"/>
        <w:outlineLvl w:val="1"/>
        <w:rPr>
          <w:rFonts w:hint="default" w:ascii="Times New Roman" w:hAnsi="Times New Roman" w:eastAsia="国标宋体" w:cs="Times New Roman"/>
          <w:color w:val="auto"/>
          <w:spacing w:val="8"/>
          <w:sz w:val="28"/>
          <w:szCs w:val="28"/>
          <w:highlight w:val="none"/>
        </w:rPr>
      </w:pPr>
      <w:r>
        <w:rPr>
          <w:rFonts w:hint="default" w:ascii="Times New Roman" w:hAnsi="Times New Roman" w:eastAsia="国标宋体" w:cs="Times New Roman"/>
          <w:color w:val="auto"/>
          <w:spacing w:val="8"/>
          <w:sz w:val="28"/>
          <w:szCs w:val="28"/>
          <w:highlight w:val="none"/>
          <w:lang w:val="en-US" w:eastAsia="zh-CN"/>
        </w:rPr>
        <w:t>8.3</w:t>
      </w:r>
      <w:r>
        <w:rPr>
          <w:rFonts w:hint="eastAsia" w:ascii="Times New Roman" w:hAnsi="Times New Roman" w:eastAsia="国标宋体" w:cs="Times New Roman"/>
          <w:color w:val="auto"/>
          <w:spacing w:val="8"/>
          <w:sz w:val="28"/>
          <w:szCs w:val="28"/>
          <w:highlight w:val="none"/>
          <w:lang w:val="en-US" w:eastAsia="zh-CN"/>
        </w:rPr>
        <w:t xml:space="preserve"> </w:t>
      </w:r>
      <w:r>
        <w:rPr>
          <w:rFonts w:hint="default" w:ascii="Times New Roman" w:hAnsi="Times New Roman" w:eastAsia="国标宋体" w:cs="Times New Roman"/>
          <w:color w:val="auto"/>
          <w:spacing w:val="8"/>
          <w:sz w:val="28"/>
          <w:szCs w:val="28"/>
          <w:highlight w:val="none"/>
        </w:rPr>
        <w:t>评审报告由鉴定评审机构根据建立的评审报告审核制度进行审批。鉴定评审报告中鉴定评审结论分为：“符合条件”、“不符合条件”、“整改后符合条件”。</w:t>
      </w:r>
    </w:p>
    <w:p w14:paraId="2E117991">
      <w:pPr>
        <w:pStyle w:val="2"/>
        <w:numPr>
          <w:ilvl w:val="0"/>
          <w:numId w:val="1"/>
        </w:numPr>
        <w:snapToGrid w:val="0"/>
        <w:spacing w:line="360" w:lineRule="auto"/>
        <w:jc w:val="left"/>
        <w:rPr>
          <w:rFonts w:hint="default" w:ascii="Times New Roman" w:hAnsi="Times New Roman" w:eastAsia="国标宋体" w:cs="Times New Roman"/>
          <w:color w:val="auto"/>
          <w:sz w:val="28"/>
          <w:szCs w:val="28"/>
          <w:highlight w:val="none"/>
          <w:lang w:eastAsia="zh-CN"/>
        </w:rPr>
      </w:pPr>
      <w:bookmarkStart w:id="71" w:name="_Toc535878777"/>
      <w:bookmarkStart w:id="72" w:name="_Toc11939"/>
      <w:bookmarkStart w:id="73" w:name="_Toc1423040394"/>
      <w:bookmarkStart w:id="74" w:name="_Toc309494027"/>
      <w:bookmarkStart w:id="75" w:name="_Toc66604311"/>
      <w:r>
        <w:rPr>
          <w:rFonts w:hint="eastAsia" w:eastAsia="国标宋体" w:cs="Times New Roman"/>
          <w:color w:val="auto"/>
          <w:sz w:val="28"/>
          <w:szCs w:val="28"/>
          <w:highlight w:val="none"/>
          <w:lang w:val="en-US" w:eastAsia="zh-CN"/>
        </w:rPr>
        <w:t xml:space="preserve"> </w:t>
      </w:r>
      <w:r>
        <w:rPr>
          <w:rFonts w:hint="default" w:ascii="Times New Roman" w:hAnsi="Times New Roman" w:eastAsia="国标宋体" w:cs="Times New Roman"/>
          <w:color w:val="auto"/>
          <w:sz w:val="28"/>
          <w:szCs w:val="28"/>
          <w:highlight w:val="none"/>
          <w:lang w:eastAsia="zh-CN"/>
        </w:rPr>
        <w:t>申诉处理</w:t>
      </w:r>
      <w:bookmarkEnd w:id="71"/>
      <w:bookmarkEnd w:id="72"/>
      <w:bookmarkEnd w:id="73"/>
      <w:bookmarkEnd w:id="74"/>
      <w:bookmarkEnd w:id="75"/>
    </w:p>
    <w:p w14:paraId="7BE21A4E">
      <w:pPr>
        <w:numPr>
          <w:ilvl w:val="-1"/>
          <w:numId w:val="0"/>
        </w:numPr>
        <w:autoSpaceDE/>
        <w:autoSpaceDN/>
        <w:adjustRightInd w:val="0"/>
        <w:snapToGrid w:val="0"/>
        <w:spacing w:before="0" w:line="360" w:lineRule="auto"/>
        <w:ind w:leftChars="0" w:firstLine="560" w:firstLineChars="200"/>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申请单位对鉴定评审报告、评审结论有异议的，可</w:t>
      </w:r>
      <w:r>
        <w:rPr>
          <w:rFonts w:hint="eastAsia" w:eastAsia="国标宋体" w:cs="Times New Roman"/>
          <w:color w:val="auto"/>
          <w:sz w:val="28"/>
          <w:szCs w:val="28"/>
          <w:lang w:eastAsia="zh-CN"/>
        </w:rPr>
        <w:t>在</w:t>
      </w:r>
      <w:r>
        <w:rPr>
          <w:rFonts w:hint="eastAsia" w:eastAsia="国标宋体" w:cs="Times New Roman"/>
          <w:color w:val="auto"/>
          <w:sz w:val="28"/>
          <w:szCs w:val="28"/>
          <w:lang w:val="en-US" w:eastAsia="zh-CN"/>
        </w:rPr>
        <w:t>10个工作日内</w:t>
      </w:r>
      <w:r>
        <w:rPr>
          <w:rFonts w:hint="default" w:ascii="Times New Roman" w:hAnsi="Times New Roman" w:eastAsia="国标宋体" w:cs="Times New Roman"/>
          <w:color w:val="auto"/>
          <w:sz w:val="28"/>
          <w:szCs w:val="28"/>
        </w:rPr>
        <w:t>向行政许可受理机关提出申诉。申诉材料须加盖单位公章，并附相关佐证资料，逾期不予受理。</w:t>
      </w:r>
    </w:p>
    <w:p w14:paraId="24D3ACE9">
      <w:pPr>
        <w:widowControl w:val="0"/>
        <w:numPr>
          <w:ilvl w:val="0"/>
          <w:numId w:val="0"/>
        </w:numPr>
        <w:adjustRightInd w:val="0"/>
        <w:snapToGrid w:val="0"/>
        <w:spacing w:before="0" w:line="360" w:lineRule="auto"/>
        <w:ind w:firstLine="960" w:firstLineChars="400"/>
        <w:jc w:val="both"/>
        <w:rPr>
          <w:rFonts w:hint="default" w:ascii="Times New Roman" w:hAnsi="Times New Roman" w:eastAsia="国标宋体" w:cs="Times New Roman"/>
          <w:color w:val="auto"/>
          <w:sz w:val="24"/>
          <w:szCs w:val="24"/>
          <w:highlight w:val="yellow"/>
        </w:rPr>
      </w:pPr>
      <w:r>
        <w:rPr>
          <w:rFonts w:hint="default" w:ascii="Times New Roman" w:hAnsi="Times New Roman" w:eastAsia="国标宋体" w:cs="Times New Roman"/>
          <w:color w:val="auto"/>
          <w:sz w:val="24"/>
          <w:szCs w:val="24"/>
          <w:highlight w:val="yellow"/>
        </w:rPr>
        <w:br w:type="page"/>
      </w:r>
    </w:p>
    <w:p w14:paraId="16F8AD03">
      <w:pPr>
        <w:pStyle w:val="2"/>
        <w:spacing w:line="360" w:lineRule="auto"/>
        <w:ind w:firstLine="640" w:firstLineChars="200"/>
        <w:jc w:val="center"/>
        <w:rPr>
          <w:rFonts w:hint="default" w:ascii="Times New Roman" w:hAnsi="Times New Roman" w:eastAsia="国标宋体" w:cs="Times New Roman"/>
          <w:b w:val="0"/>
          <w:bCs/>
          <w:color w:val="auto"/>
          <w:sz w:val="32"/>
          <w:szCs w:val="32"/>
        </w:rPr>
      </w:pPr>
      <w:bookmarkStart w:id="76" w:name="_Toc1057381719"/>
      <w:bookmarkStart w:id="77" w:name="_Toc185315905"/>
      <w:bookmarkStart w:id="78" w:name="_Toc1627194164"/>
      <w:bookmarkStart w:id="79" w:name="_Toc32632"/>
      <w:bookmarkStart w:id="80" w:name="_Toc5465"/>
      <w:bookmarkStart w:id="81" w:name="_Toc5727"/>
      <w:bookmarkStart w:id="82" w:name="_Toc2109268321"/>
      <w:bookmarkStart w:id="83" w:name="_Toc23187"/>
      <w:bookmarkStart w:id="84" w:name="_Toc27427"/>
      <w:r>
        <w:rPr>
          <w:rFonts w:hint="default" w:ascii="Times New Roman" w:hAnsi="Times New Roman" w:eastAsia="国标宋体" w:cs="Times New Roman"/>
          <w:b w:val="0"/>
          <w:bCs/>
          <w:color w:val="auto"/>
          <w:sz w:val="32"/>
          <w:szCs w:val="32"/>
        </w:rPr>
        <w:t>附录A  评审现场核查的资源条件资料</w:t>
      </w:r>
      <w:bookmarkEnd w:id="76"/>
      <w:bookmarkEnd w:id="77"/>
      <w:bookmarkEnd w:id="78"/>
      <w:bookmarkEnd w:id="79"/>
      <w:bookmarkEnd w:id="80"/>
      <w:bookmarkEnd w:id="81"/>
      <w:bookmarkEnd w:id="82"/>
      <w:bookmarkEnd w:id="83"/>
      <w:bookmarkEnd w:id="84"/>
    </w:p>
    <w:p w14:paraId="25914858">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5" w:name="_Toc1234831953"/>
      <w:r>
        <w:rPr>
          <w:rFonts w:hint="default" w:ascii="Times New Roman" w:hAnsi="Times New Roman" w:eastAsia="国标宋体" w:cs="Times New Roman"/>
          <w:color w:val="auto"/>
          <w:sz w:val="28"/>
          <w:szCs w:val="28"/>
          <w:lang w:val="en-US" w:eastAsia="zh-CN"/>
        </w:rPr>
        <w:t>A1评审现场核查的纸质资料</w:t>
      </w:r>
      <w:bookmarkEnd w:id="85"/>
    </w:p>
    <w:tbl>
      <w:tblPr>
        <w:tblStyle w:val="24"/>
        <w:tblW w:w="5015"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7"/>
        <w:gridCol w:w="8184"/>
      </w:tblGrid>
      <w:tr w14:paraId="209D8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577B354">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评审项目</w:t>
            </w:r>
          </w:p>
        </w:tc>
        <w:tc>
          <w:tcPr>
            <w:tcW w:w="4183" w:type="pct"/>
            <w:vAlign w:val="center"/>
          </w:tcPr>
          <w:p w14:paraId="2E6EE0A8">
            <w:pPr>
              <w:adjustRightInd w:val="0"/>
              <w:snapToGrid w:val="0"/>
              <w:spacing w:line="240" w:lineRule="auto"/>
              <w:jc w:val="center"/>
              <w:rPr>
                <w:rFonts w:hint="eastAsia" w:ascii="Times New Roman" w:hAnsi="Times New Roman" w:eastAsia="国标宋体" w:cs="Times New Roman"/>
                <w:snapToGrid w:val="0"/>
                <w:color w:val="auto"/>
                <w:szCs w:val="21"/>
                <w:lang w:eastAsia="zh-CN"/>
              </w:rPr>
            </w:pPr>
            <w:r>
              <w:rPr>
                <w:rFonts w:hint="eastAsia" w:eastAsia="国标宋体" w:cs="Times New Roman"/>
                <w:snapToGrid w:val="0"/>
                <w:color w:val="auto"/>
                <w:spacing w:val="9"/>
                <w:szCs w:val="24"/>
                <w:lang w:eastAsia="zh-CN"/>
              </w:rPr>
              <w:t>见证资料</w:t>
            </w:r>
          </w:p>
        </w:tc>
      </w:tr>
      <w:tr w14:paraId="5223AA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727112B">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1"/>
                <w:szCs w:val="24"/>
                <w:lang w:eastAsia="zh-CN"/>
              </w:rPr>
              <w:t>法定代表人</w:t>
            </w:r>
            <w:r>
              <w:rPr>
                <w:rFonts w:hint="default" w:ascii="Times New Roman" w:hAnsi="Times New Roman" w:eastAsia="国标宋体" w:cs="Times New Roman"/>
                <w:snapToGrid w:val="0"/>
                <w:color w:val="auto"/>
                <w:spacing w:val="-4"/>
                <w:szCs w:val="24"/>
              </w:rPr>
              <w:t>资</w:t>
            </w:r>
            <w:r>
              <w:rPr>
                <w:rFonts w:hint="default" w:ascii="Times New Roman" w:hAnsi="Times New Roman" w:eastAsia="国标宋体" w:cs="Times New Roman"/>
                <w:snapToGrid w:val="0"/>
                <w:color w:val="auto"/>
                <w:spacing w:val="-3"/>
                <w:szCs w:val="24"/>
              </w:rPr>
              <w:t>格</w:t>
            </w:r>
          </w:p>
        </w:tc>
        <w:tc>
          <w:tcPr>
            <w:tcW w:w="4183" w:type="pct"/>
            <w:vAlign w:val="center"/>
          </w:tcPr>
          <w:p w14:paraId="05D512AF">
            <w:pPr>
              <w:adjustRightInd w:val="0"/>
              <w:snapToGrid w:val="0"/>
              <w:spacing w:line="240" w:lineRule="auto"/>
              <w:ind w:left="17"/>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8"/>
                <w:szCs w:val="24"/>
                <w:lang w:eastAsia="zh-CN"/>
              </w:rPr>
              <w:t>《营业执照》或《事业单位法定代表人证书》</w:t>
            </w:r>
            <w:r>
              <w:rPr>
                <w:rFonts w:hint="default" w:ascii="Times New Roman" w:hAnsi="Times New Roman" w:eastAsia="国标宋体" w:cs="Times New Roman"/>
                <w:snapToGrid w:val="0"/>
                <w:color w:val="auto"/>
                <w:spacing w:val="8"/>
                <w:szCs w:val="24"/>
              </w:rPr>
              <w:t>原件。</w:t>
            </w:r>
          </w:p>
        </w:tc>
      </w:tr>
      <w:tr w14:paraId="5FB14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4C186A31">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4"/>
                <w:szCs w:val="24"/>
              </w:rPr>
              <w:t>公正</w:t>
            </w:r>
            <w:r>
              <w:rPr>
                <w:rFonts w:hint="default" w:ascii="Times New Roman" w:hAnsi="Times New Roman" w:eastAsia="国标宋体" w:cs="Times New Roman"/>
                <w:snapToGrid w:val="0"/>
                <w:color w:val="auto"/>
                <w:szCs w:val="24"/>
              </w:rPr>
              <w:t>性</w:t>
            </w:r>
          </w:p>
        </w:tc>
        <w:tc>
          <w:tcPr>
            <w:tcW w:w="4183" w:type="pct"/>
            <w:vAlign w:val="center"/>
          </w:tcPr>
          <w:p w14:paraId="06DBB56B">
            <w:pPr>
              <w:adjustRightInd w:val="0"/>
              <w:snapToGrid w:val="0"/>
              <w:spacing w:line="240" w:lineRule="auto"/>
              <w:ind w:left="17"/>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2"/>
                <w:szCs w:val="24"/>
              </w:rPr>
              <w:t>《营业执照》或《事业单位法定代表人证书》</w:t>
            </w:r>
            <w:r>
              <w:rPr>
                <w:rFonts w:hint="default" w:ascii="Times New Roman" w:hAnsi="Times New Roman" w:eastAsia="国标宋体" w:cs="Times New Roman"/>
                <w:snapToGrid w:val="0"/>
                <w:color w:val="auto"/>
                <w:spacing w:val="1"/>
                <w:szCs w:val="24"/>
              </w:rPr>
              <w:t>、公司业务台账、公正性声明</w:t>
            </w:r>
            <w:r>
              <w:rPr>
                <w:rFonts w:hint="default" w:ascii="Times New Roman" w:hAnsi="Times New Roman" w:eastAsia="国标宋体" w:cs="Times New Roman"/>
                <w:snapToGrid w:val="0"/>
                <w:color w:val="auto"/>
                <w:spacing w:val="1"/>
                <w:szCs w:val="24"/>
                <w:lang w:eastAsia="zh-CN"/>
              </w:rPr>
              <w:t>。</w:t>
            </w:r>
          </w:p>
        </w:tc>
      </w:tr>
      <w:tr w14:paraId="4C999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BF4E5EC">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人员</w:t>
            </w:r>
          </w:p>
        </w:tc>
        <w:tc>
          <w:tcPr>
            <w:tcW w:w="4183" w:type="pct"/>
            <w:vAlign w:val="center"/>
          </w:tcPr>
          <w:p w14:paraId="117FC739">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核查</w:t>
            </w:r>
            <w:r>
              <w:rPr>
                <w:rFonts w:hint="default" w:ascii="Times New Roman" w:hAnsi="Times New Roman" w:eastAsia="国标宋体" w:cs="Times New Roman"/>
                <w:snapToGrid w:val="0"/>
                <w:color w:val="auto"/>
                <w:spacing w:val="7"/>
                <w:szCs w:val="24"/>
              </w:rPr>
              <w:t>所有检验人员的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以下均为原件）：</w:t>
            </w:r>
          </w:p>
          <w:p w14:paraId="2A1DC38F">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0"/>
                <w:szCs w:val="24"/>
              </w:rPr>
              <w:t>①《检验与检测人员配置表</w:t>
            </w:r>
            <w:r>
              <w:rPr>
                <w:rFonts w:hint="default" w:ascii="Times New Roman" w:hAnsi="Times New Roman" w:eastAsia="国标宋体" w:cs="Times New Roman"/>
                <w:snapToGrid w:val="0"/>
                <w:color w:val="auto"/>
                <w:spacing w:val="5"/>
                <w:szCs w:val="24"/>
              </w:rPr>
              <w:t>》（包括姓名、身份证</w:t>
            </w:r>
            <w:r>
              <w:rPr>
                <w:rFonts w:hint="default" w:ascii="Times New Roman" w:hAnsi="Times New Roman" w:eastAsia="国标宋体" w:cs="Times New Roman"/>
                <w:snapToGrid w:val="0"/>
                <w:color w:val="auto"/>
                <w:spacing w:val="20"/>
                <w:szCs w:val="24"/>
              </w:rPr>
              <w:t>号</w:t>
            </w:r>
            <w:r>
              <w:rPr>
                <w:rFonts w:hint="default" w:ascii="Times New Roman" w:hAnsi="Times New Roman" w:eastAsia="国标宋体" w:cs="Times New Roman"/>
                <w:snapToGrid w:val="0"/>
                <w:color w:val="auto"/>
                <w:spacing w:val="10"/>
                <w:szCs w:val="24"/>
              </w:rPr>
              <w:t>、专业、持证项目、聘用起始日</w:t>
            </w:r>
            <w:r>
              <w:rPr>
                <w:rFonts w:hint="default" w:ascii="Times New Roman" w:hAnsi="Times New Roman" w:eastAsia="国标宋体" w:cs="Times New Roman"/>
                <w:snapToGrid w:val="0"/>
                <w:color w:val="auto"/>
                <w:spacing w:val="4"/>
                <w:szCs w:val="24"/>
              </w:rPr>
              <w:t>期、社</w:t>
            </w:r>
            <w:r>
              <w:rPr>
                <w:rFonts w:hint="default" w:ascii="Times New Roman" w:hAnsi="Times New Roman" w:eastAsia="国标宋体" w:cs="Times New Roman"/>
                <w:snapToGrid w:val="0"/>
                <w:color w:val="auto"/>
                <w:spacing w:val="2"/>
                <w:szCs w:val="24"/>
              </w:rPr>
              <w:t>保方式等）；</w:t>
            </w:r>
          </w:p>
          <w:p w14:paraId="557654F0">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②</w:t>
            </w:r>
            <w:r>
              <w:rPr>
                <w:rFonts w:hint="default" w:ascii="Times New Roman" w:hAnsi="Times New Roman" w:eastAsia="国标宋体" w:cs="Times New Roman"/>
                <w:snapToGrid w:val="0"/>
                <w:color w:val="auto"/>
                <w:spacing w:val="9"/>
                <w:szCs w:val="24"/>
              </w:rPr>
              <w:t>劳</w:t>
            </w:r>
            <w:r>
              <w:rPr>
                <w:rFonts w:hint="default" w:ascii="Times New Roman" w:hAnsi="Times New Roman" w:eastAsia="国标宋体" w:cs="Times New Roman"/>
                <w:snapToGrid w:val="0"/>
                <w:color w:val="auto"/>
                <w:spacing w:val="11"/>
                <w:szCs w:val="24"/>
              </w:rPr>
              <w:t>动合同、聘用协议、工资发放记录</w:t>
            </w:r>
            <w:r>
              <w:rPr>
                <w:rFonts w:hint="default" w:ascii="Times New Roman" w:hAnsi="Times New Roman" w:eastAsia="国标宋体" w:cs="Times New Roman"/>
                <w:snapToGrid w:val="0"/>
                <w:color w:val="auto"/>
                <w:spacing w:val="11"/>
                <w:szCs w:val="24"/>
                <w:lang w:eastAsia="zh-CN"/>
              </w:rPr>
              <w:t>；</w:t>
            </w:r>
          </w:p>
          <w:p w14:paraId="277EC085">
            <w:pPr>
              <w:adjustRightInd w:val="0"/>
              <w:snapToGrid w:val="0"/>
              <w:spacing w:line="240" w:lineRule="auto"/>
              <w:ind w:left="130" w:right="0" w:firstLine="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7"/>
                <w:szCs w:val="24"/>
              </w:rPr>
              <w:t>③</w:t>
            </w:r>
            <w:r>
              <w:rPr>
                <w:rFonts w:hint="default" w:ascii="Times New Roman" w:hAnsi="Times New Roman" w:eastAsia="国标宋体" w:cs="Times New Roman"/>
                <w:snapToGrid w:val="0"/>
                <w:color w:val="auto"/>
                <w:spacing w:val="11"/>
                <w:szCs w:val="24"/>
              </w:rPr>
              <w:t>社会保险缴纳证明</w:t>
            </w:r>
            <w:r>
              <w:rPr>
                <w:rFonts w:hint="default" w:ascii="Times New Roman" w:hAnsi="Times New Roman" w:eastAsia="国标宋体" w:cs="Times New Roman"/>
                <w:snapToGrid w:val="0"/>
                <w:color w:val="auto"/>
                <w:spacing w:val="11"/>
                <w:szCs w:val="24"/>
                <w:lang w:eastAsia="zh-CN"/>
              </w:rPr>
              <w:t>、购买工伤保险</w:t>
            </w:r>
            <w:r>
              <w:rPr>
                <w:rFonts w:hint="default" w:ascii="Times New Roman" w:hAnsi="Times New Roman" w:eastAsia="国标宋体" w:cs="Times New Roman"/>
                <w:snapToGrid w:val="0"/>
                <w:color w:val="auto"/>
                <w:spacing w:val="11"/>
                <w:szCs w:val="24"/>
              </w:rPr>
              <w:t>证明材料</w:t>
            </w:r>
            <w:r>
              <w:rPr>
                <w:rFonts w:hint="default" w:ascii="Times New Roman" w:hAnsi="Times New Roman" w:eastAsia="国标宋体" w:cs="Times New Roman"/>
                <w:snapToGrid w:val="0"/>
                <w:color w:val="auto"/>
                <w:spacing w:val="11"/>
                <w:szCs w:val="24"/>
                <w:lang w:eastAsia="zh-CN"/>
              </w:rPr>
              <w:t>、</w:t>
            </w:r>
            <w:r>
              <w:rPr>
                <w:rFonts w:hint="default" w:ascii="Times New Roman" w:hAnsi="Times New Roman" w:eastAsia="国标宋体" w:cs="Times New Roman"/>
                <w:snapToGrid w:val="0"/>
                <w:color w:val="auto"/>
                <w:spacing w:val="11"/>
                <w:szCs w:val="24"/>
                <w:highlight w:val="none"/>
                <w:lang w:val="en-US" w:eastAsia="zh-CN"/>
              </w:rPr>
              <w:t>支撑检验机构出资缴纳唯一基本养老保险的</w:t>
            </w:r>
            <w:r>
              <w:rPr>
                <w:rFonts w:hint="default" w:ascii="Times New Roman" w:hAnsi="Times New Roman" w:eastAsia="国标宋体" w:cs="Times New Roman"/>
                <w:snapToGrid w:val="0"/>
                <w:color w:val="auto"/>
                <w:spacing w:val="11"/>
                <w:szCs w:val="24"/>
                <w:highlight w:val="none"/>
                <w:lang w:eastAsia="zh-CN"/>
              </w:rPr>
              <w:t>相关政策文件、</w:t>
            </w:r>
            <w:r>
              <w:rPr>
                <w:rFonts w:hint="default" w:ascii="Times New Roman" w:hAnsi="Times New Roman" w:eastAsia="国标宋体" w:cs="Times New Roman"/>
                <w:snapToGrid w:val="0"/>
                <w:color w:val="auto"/>
                <w:spacing w:val="11"/>
                <w:szCs w:val="24"/>
                <w:highlight w:val="none"/>
                <w:lang w:val="en-US" w:eastAsia="zh-CN"/>
              </w:rPr>
              <w:t>支付</w:t>
            </w:r>
            <w:r>
              <w:rPr>
                <w:rFonts w:hint="default" w:ascii="Times New Roman" w:hAnsi="Times New Roman" w:eastAsia="国标宋体" w:cs="Times New Roman"/>
                <w:snapToGrid w:val="0"/>
                <w:color w:val="auto"/>
                <w:spacing w:val="11"/>
                <w:szCs w:val="24"/>
                <w:highlight w:val="none"/>
                <w:lang w:eastAsia="zh-CN"/>
              </w:rPr>
              <w:t>转账</w:t>
            </w:r>
            <w:r>
              <w:rPr>
                <w:rFonts w:hint="default" w:ascii="Times New Roman" w:hAnsi="Times New Roman" w:eastAsia="国标宋体" w:cs="Times New Roman"/>
                <w:snapToGrid w:val="0"/>
                <w:color w:val="auto"/>
                <w:spacing w:val="11"/>
                <w:szCs w:val="24"/>
                <w:highlight w:val="none"/>
                <w:lang w:val="en-US" w:eastAsia="zh-CN"/>
              </w:rPr>
              <w:t>闭环</w:t>
            </w:r>
            <w:r>
              <w:rPr>
                <w:rFonts w:hint="default" w:ascii="Times New Roman" w:hAnsi="Times New Roman" w:eastAsia="国标宋体" w:cs="Times New Roman"/>
                <w:snapToGrid w:val="0"/>
                <w:color w:val="auto"/>
                <w:spacing w:val="11"/>
                <w:szCs w:val="24"/>
                <w:highlight w:val="none"/>
                <w:lang w:eastAsia="zh-CN"/>
              </w:rPr>
              <w:t>证明</w:t>
            </w:r>
            <w:r>
              <w:rPr>
                <w:rFonts w:hint="default" w:ascii="Times New Roman" w:hAnsi="Times New Roman" w:eastAsia="国标宋体" w:cs="Times New Roman"/>
                <w:snapToGrid w:val="0"/>
                <w:color w:val="auto"/>
                <w:spacing w:val="11"/>
                <w:szCs w:val="24"/>
                <w:highlight w:val="none"/>
              </w:rPr>
              <w:t>等</w:t>
            </w:r>
            <w:r>
              <w:rPr>
                <w:rFonts w:hint="default" w:ascii="Times New Roman" w:hAnsi="Times New Roman" w:eastAsia="国标宋体" w:cs="Times New Roman"/>
                <w:snapToGrid w:val="0"/>
                <w:color w:val="auto"/>
                <w:spacing w:val="11"/>
                <w:sz w:val="24"/>
                <w:szCs w:val="24"/>
                <w:highlight w:val="none"/>
                <w:lang w:eastAsia="zh-CN"/>
              </w:rPr>
              <w:t>（退休人员不作为资源条件，</w:t>
            </w:r>
            <w:r>
              <w:rPr>
                <w:rFonts w:hint="eastAsia" w:eastAsia="国标宋体" w:cs="Times New Roman"/>
                <w:snapToGrid w:val="0"/>
                <w:color w:val="auto"/>
                <w:spacing w:val="11"/>
                <w:sz w:val="24"/>
                <w:szCs w:val="24"/>
                <w:highlight w:val="none"/>
                <w:lang w:eastAsia="zh-CN"/>
              </w:rPr>
              <w:t>在</w:t>
            </w:r>
            <w:r>
              <w:rPr>
                <w:rFonts w:hint="default" w:ascii="Times New Roman" w:hAnsi="Times New Roman" w:eastAsia="国标宋体" w:cs="Times New Roman"/>
                <w:snapToGrid w:val="0"/>
                <w:color w:val="auto"/>
                <w:spacing w:val="11"/>
                <w:sz w:val="24"/>
                <w:szCs w:val="24"/>
                <w:highlight w:val="none"/>
                <w:lang w:eastAsia="zh-CN"/>
              </w:rPr>
              <w:t>从事相应工作的</w:t>
            </w:r>
            <w:r>
              <w:rPr>
                <w:rFonts w:hint="eastAsia" w:eastAsia="国标宋体" w:cs="Times New Roman"/>
                <w:snapToGrid w:val="0"/>
                <w:color w:val="auto"/>
                <w:spacing w:val="11"/>
                <w:sz w:val="24"/>
                <w:szCs w:val="24"/>
                <w:highlight w:val="none"/>
                <w:lang w:eastAsia="zh-CN"/>
              </w:rPr>
              <w:t>，应</w:t>
            </w:r>
            <w:r>
              <w:rPr>
                <w:rFonts w:hint="default" w:ascii="Times New Roman" w:hAnsi="Times New Roman" w:eastAsia="国标宋体" w:cs="Times New Roman"/>
                <w:snapToGrid w:val="0"/>
                <w:color w:val="auto"/>
                <w:spacing w:val="11"/>
                <w:sz w:val="24"/>
                <w:szCs w:val="24"/>
                <w:highlight w:val="none"/>
                <w:lang w:eastAsia="zh-CN"/>
              </w:rPr>
              <w:t>核查退休证明及公对私的转款证明）；</w:t>
            </w:r>
          </w:p>
          <w:p w14:paraId="59D97F2E">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11"/>
                <w:szCs w:val="24"/>
              </w:rPr>
              <w:t>④</w:t>
            </w:r>
            <w:r>
              <w:rPr>
                <w:rFonts w:hint="default" w:ascii="Times New Roman" w:hAnsi="Times New Roman" w:eastAsia="国标宋体" w:cs="Times New Roman"/>
                <w:snapToGrid w:val="0"/>
                <w:color w:val="auto"/>
                <w:spacing w:val="8"/>
                <w:szCs w:val="24"/>
                <w:lang w:eastAsia="zh-CN"/>
              </w:rPr>
              <w:t>特种设备检验检测人员资格证</w:t>
            </w:r>
            <w:r>
              <w:rPr>
                <w:rFonts w:hint="default" w:ascii="Times New Roman" w:hAnsi="Times New Roman" w:eastAsia="国标宋体" w:cs="Times New Roman"/>
                <w:snapToGrid w:val="0"/>
                <w:color w:val="auto"/>
                <w:spacing w:val="8"/>
                <w:szCs w:val="24"/>
              </w:rPr>
              <w:t>、注册证书</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11"/>
                <w:szCs w:val="24"/>
                <w:lang w:eastAsia="zh-CN"/>
              </w:rPr>
              <w:t>学历证书</w:t>
            </w:r>
            <w:r>
              <w:rPr>
                <w:rFonts w:hint="default" w:ascii="Times New Roman" w:hAnsi="Times New Roman" w:eastAsia="国标宋体" w:cs="Times New Roman"/>
                <w:snapToGrid w:val="0"/>
                <w:color w:val="auto"/>
                <w:spacing w:val="8"/>
                <w:szCs w:val="24"/>
              </w:rPr>
              <w:t>；</w:t>
            </w:r>
          </w:p>
          <w:p w14:paraId="53170A08">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lang w:eastAsia="zh-CN"/>
              </w:rPr>
              <w:t>⑤培训证明。</w:t>
            </w:r>
          </w:p>
        </w:tc>
      </w:tr>
      <w:tr w14:paraId="02A66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3A0DA3BB">
            <w:pPr>
              <w:adjustRightInd w:val="0"/>
              <w:snapToGrid w:val="0"/>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5"/>
                <w:szCs w:val="24"/>
              </w:rPr>
              <w:t>关键岗位</w:t>
            </w:r>
            <w:r>
              <w:rPr>
                <w:rFonts w:hint="default" w:ascii="Times New Roman" w:hAnsi="Times New Roman" w:eastAsia="国标宋体" w:cs="Times New Roman"/>
                <w:snapToGrid w:val="0"/>
                <w:color w:val="auto"/>
                <w:szCs w:val="24"/>
              </w:rPr>
              <w:t>人员</w:t>
            </w:r>
          </w:p>
        </w:tc>
        <w:tc>
          <w:tcPr>
            <w:tcW w:w="4183" w:type="pct"/>
            <w:vAlign w:val="center"/>
          </w:tcPr>
          <w:p w14:paraId="5BE5B64A">
            <w:pPr>
              <w:adjustRightInd w:val="0"/>
              <w:snapToGrid w:val="0"/>
              <w:spacing w:line="240" w:lineRule="auto"/>
              <w:ind w:left="122" w:right="101" w:firstLine="2"/>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关</w:t>
            </w:r>
            <w:r>
              <w:rPr>
                <w:rFonts w:hint="default" w:ascii="Times New Roman" w:hAnsi="Times New Roman" w:eastAsia="国标宋体" w:cs="Times New Roman"/>
                <w:snapToGrid w:val="0"/>
                <w:color w:val="auto"/>
                <w:spacing w:val="8"/>
                <w:szCs w:val="24"/>
              </w:rPr>
              <w:t>键岗位人员的任命文件</w:t>
            </w:r>
            <w:r>
              <w:rPr>
                <w:rFonts w:hint="default" w:ascii="Times New Roman" w:hAnsi="Times New Roman" w:eastAsia="国标宋体" w:cs="Times New Roman"/>
                <w:snapToGrid w:val="0"/>
                <w:color w:val="auto"/>
                <w:spacing w:val="10"/>
                <w:szCs w:val="24"/>
                <w:lang w:eastAsia="zh-CN"/>
              </w:rPr>
              <w:t>、</w:t>
            </w:r>
            <w:r>
              <w:rPr>
                <w:rFonts w:hint="default" w:ascii="Times New Roman" w:hAnsi="Times New Roman" w:eastAsia="国标宋体" w:cs="Times New Roman"/>
                <w:snapToGrid w:val="0"/>
                <w:color w:val="auto"/>
                <w:spacing w:val="10"/>
                <w:szCs w:val="24"/>
              </w:rPr>
              <w:t>参加</w:t>
            </w:r>
            <w:r>
              <w:rPr>
                <w:rFonts w:hint="default" w:ascii="Times New Roman" w:hAnsi="Times New Roman" w:eastAsia="国标宋体" w:cs="Times New Roman"/>
                <w:snapToGrid w:val="0"/>
                <w:color w:val="auto"/>
                <w:spacing w:val="9"/>
                <w:szCs w:val="24"/>
              </w:rPr>
              <w:t>相关知识培训的</w:t>
            </w:r>
            <w:r>
              <w:rPr>
                <w:rFonts w:hint="eastAsia" w:eastAsia="国标宋体" w:cs="Times New Roman"/>
                <w:snapToGrid w:val="0"/>
                <w:color w:val="auto"/>
                <w:spacing w:val="9"/>
                <w:szCs w:val="24"/>
                <w:lang w:eastAsia="zh-CN"/>
              </w:rPr>
              <w:t>见证资料</w:t>
            </w:r>
            <w:r>
              <w:rPr>
                <w:rFonts w:hint="default" w:ascii="Times New Roman" w:hAnsi="Times New Roman" w:eastAsia="国标宋体" w:cs="Times New Roman"/>
                <w:snapToGrid w:val="0"/>
                <w:color w:val="auto"/>
                <w:spacing w:val="9"/>
                <w:szCs w:val="24"/>
              </w:rPr>
              <w:t>。</w:t>
            </w:r>
          </w:p>
        </w:tc>
      </w:tr>
      <w:tr w14:paraId="5E8B5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5D9C0663">
            <w:pPr>
              <w:adjustRightInd w:val="0"/>
              <w:snapToGrid w:val="0"/>
              <w:spacing w:line="240" w:lineRule="auto"/>
              <w:ind w:left="126" w:right="68" w:hanging="3"/>
              <w:jc w:val="center"/>
              <w:rPr>
                <w:rFonts w:hint="default" w:ascii="Times New Roman" w:hAnsi="Times New Roman" w:eastAsia="国标宋体" w:cs="Times New Roman"/>
                <w:snapToGrid w:val="0"/>
                <w:color w:val="auto"/>
                <w:szCs w:val="21"/>
              </w:rPr>
            </w:pPr>
            <w:bookmarkStart w:id="86" w:name="_bookmark8"/>
            <w:bookmarkEnd w:id="86"/>
            <w:r>
              <w:rPr>
                <w:rFonts w:hint="default" w:ascii="Times New Roman" w:hAnsi="Times New Roman" w:eastAsia="国标宋体" w:cs="Times New Roman"/>
                <w:snapToGrid w:val="0"/>
                <w:color w:val="auto"/>
                <w:spacing w:val="3"/>
                <w:szCs w:val="24"/>
              </w:rPr>
              <w:t>检验设备</w:t>
            </w:r>
          </w:p>
        </w:tc>
        <w:tc>
          <w:tcPr>
            <w:tcW w:w="4183" w:type="pct"/>
          </w:tcPr>
          <w:p w14:paraId="01D4C095">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 w:val="24"/>
                <w:szCs w:val="24"/>
                <w:highlight w:val="none"/>
                <w:lang w:eastAsia="zh-CN"/>
              </w:rPr>
              <w:t>核查</w:t>
            </w:r>
            <w:r>
              <w:rPr>
                <w:rFonts w:hint="default" w:ascii="Times New Roman" w:hAnsi="Times New Roman" w:eastAsia="国标宋体" w:cs="Times New Roman"/>
                <w:snapToGrid w:val="0"/>
                <w:color w:val="auto"/>
                <w:spacing w:val="11"/>
                <w:szCs w:val="24"/>
              </w:rPr>
              <w:t>所</w:t>
            </w:r>
            <w:r>
              <w:rPr>
                <w:rFonts w:hint="default" w:ascii="Times New Roman" w:hAnsi="Times New Roman" w:eastAsia="国标宋体" w:cs="Times New Roman"/>
                <w:snapToGrid w:val="0"/>
                <w:color w:val="auto"/>
                <w:spacing w:val="7"/>
                <w:szCs w:val="24"/>
              </w:rPr>
              <w:t>有检验设备的</w:t>
            </w:r>
            <w:r>
              <w:rPr>
                <w:rFonts w:hint="default" w:ascii="Times New Roman" w:hAnsi="Times New Roman" w:eastAsia="国标宋体" w:cs="Times New Roman"/>
                <w:snapToGrid w:val="0"/>
                <w:color w:val="auto"/>
                <w:spacing w:val="7"/>
                <w:szCs w:val="24"/>
                <w:lang w:eastAsia="zh-CN"/>
              </w:rPr>
              <w:t>档案资料</w:t>
            </w:r>
            <w:r>
              <w:rPr>
                <w:rFonts w:hint="default" w:ascii="Times New Roman" w:hAnsi="Times New Roman" w:eastAsia="国标宋体" w:cs="Times New Roman"/>
                <w:snapToGrid w:val="0"/>
                <w:color w:val="auto"/>
                <w:spacing w:val="7"/>
                <w:szCs w:val="24"/>
              </w:rPr>
              <w:t>：</w:t>
            </w:r>
          </w:p>
          <w:p w14:paraId="0660968B">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①</w:t>
            </w:r>
            <w:r>
              <w:rPr>
                <w:rFonts w:hint="default" w:ascii="Times New Roman" w:hAnsi="Times New Roman" w:eastAsia="国标宋体" w:cs="Times New Roman"/>
                <w:snapToGrid w:val="0"/>
                <w:color w:val="auto"/>
                <w:szCs w:val="24"/>
                <w:lang w:eastAsia="zh-CN"/>
              </w:rPr>
              <w:t>《检验设备配置表》</w:t>
            </w:r>
            <w:r>
              <w:rPr>
                <w:rFonts w:hint="default" w:ascii="Times New Roman" w:hAnsi="Times New Roman" w:eastAsia="国标宋体" w:cs="Times New Roman"/>
                <w:snapToGrid w:val="0"/>
                <w:color w:val="auto"/>
                <w:szCs w:val="24"/>
              </w:rPr>
              <w:t>（包括设备名称、</w:t>
            </w:r>
            <w:r>
              <w:rPr>
                <w:rFonts w:hint="default" w:ascii="Times New Roman" w:hAnsi="Times New Roman" w:eastAsia="国标宋体" w:cs="Times New Roman"/>
                <w:snapToGrid w:val="0"/>
                <w:color w:val="auto"/>
                <w:spacing w:val="8"/>
                <w:szCs w:val="24"/>
              </w:rPr>
              <w:t>型号</w:t>
            </w:r>
            <w:r>
              <w:rPr>
                <w:rFonts w:hint="default" w:ascii="Times New Roman" w:hAnsi="Times New Roman" w:eastAsia="国标宋体" w:cs="Times New Roman"/>
                <w:snapToGrid w:val="0"/>
                <w:color w:val="auto"/>
                <w:spacing w:val="5"/>
                <w:szCs w:val="24"/>
              </w:rPr>
              <w:t>、</w:t>
            </w:r>
            <w:r>
              <w:rPr>
                <w:rFonts w:hint="default" w:ascii="Times New Roman" w:hAnsi="Times New Roman" w:eastAsia="国标宋体" w:cs="Times New Roman"/>
                <w:snapToGrid w:val="0"/>
                <w:color w:val="auto"/>
                <w:spacing w:val="4"/>
                <w:szCs w:val="24"/>
              </w:rPr>
              <w:t>公司内编号、出厂编号、原值等）；</w:t>
            </w:r>
          </w:p>
          <w:p w14:paraId="261B6EF6">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3"/>
                <w:szCs w:val="24"/>
              </w:rPr>
              <w:t>②</w:t>
            </w:r>
            <w:r>
              <w:rPr>
                <w:rFonts w:hint="default" w:ascii="Times New Roman" w:hAnsi="Times New Roman" w:eastAsia="国标宋体" w:cs="Times New Roman"/>
                <w:snapToGrid w:val="0"/>
                <w:color w:val="auto"/>
                <w:spacing w:val="9"/>
                <w:szCs w:val="24"/>
              </w:rPr>
              <w:t>检验、检测设备：</w:t>
            </w:r>
            <w:r>
              <w:rPr>
                <w:rFonts w:hint="default" w:ascii="Times New Roman" w:hAnsi="Times New Roman" w:eastAsia="国标宋体" w:cs="Times New Roman"/>
                <w:snapToGrid w:val="0"/>
                <w:color w:val="auto"/>
                <w:spacing w:val="9"/>
                <w:szCs w:val="24"/>
                <w:lang w:eastAsia="zh-CN"/>
              </w:rPr>
              <w:t>采购合同、采购发票、</w:t>
            </w:r>
            <w:r>
              <w:rPr>
                <w:rFonts w:hint="default" w:ascii="Times New Roman" w:hAnsi="Times New Roman" w:eastAsia="国标宋体" w:cs="Times New Roman"/>
                <w:snapToGrid w:val="0"/>
                <w:color w:val="auto"/>
                <w:spacing w:val="9"/>
                <w:szCs w:val="24"/>
              </w:rPr>
              <w:t>付款证明（如汇票存根、支票存根、电汇凭证、承兑汇票等）、检定校准证书、状态标识等</w:t>
            </w:r>
            <w:r>
              <w:rPr>
                <w:rFonts w:hint="default" w:ascii="Times New Roman" w:hAnsi="Times New Roman" w:eastAsia="国标宋体" w:cs="Times New Roman"/>
                <w:snapToGrid w:val="0"/>
                <w:color w:val="auto"/>
                <w:szCs w:val="24"/>
              </w:rPr>
              <w:t>；</w:t>
            </w:r>
          </w:p>
          <w:p w14:paraId="16FD38DE">
            <w:pPr>
              <w:adjustRightInd w:val="0"/>
              <w:snapToGrid w:val="0"/>
              <w:spacing w:line="240" w:lineRule="auto"/>
              <w:ind w:left="130"/>
              <w:rPr>
                <w:rFonts w:hint="default" w:ascii="Times New Roman" w:hAnsi="Times New Roman" w:eastAsia="国标宋体" w:cs="Times New Roman"/>
                <w:snapToGrid w:val="0"/>
                <w:color w:val="auto"/>
                <w:spacing w:val="8"/>
                <w:sz w:val="24"/>
                <w:szCs w:val="21"/>
                <w:lang w:eastAsia="zh-CN"/>
              </w:rPr>
            </w:pPr>
            <w:r>
              <w:rPr>
                <w:rFonts w:hint="default" w:ascii="Times New Roman" w:hAnsi="Times New Roman" w:eastAsia="国标宋体" w:cs="Times New Roman"/>
                <w:snapToGrid w:val="0"/>
                <w:color w:val="auto"/>
                <w:spacing w:val="11"/>
                <w:szCs w:val="24"/>
              </w:rPr>
              <w:t>③</w:t>
            </w:r>
            <w:r>
              <w:rPr>
                <w:rFonts w:hint="default" w:ascii="Times New Roman" w:hAnsi="Times New Roman" w:eastAsia="国标宋体" w:cs="Times New Roman"/>
                <w:snapToGrid w:val="0"/>
                <w:color w:val="auto"/>
                <w:spacing w:val="8"/>
                <w:sz w:val="24"/>
                <w:szCs w:val="24"/>
                <w:lang w:val="en-US" w:eastAsia="zh-CN"/>
              </w:rPr>
              <w:t>特种设备核查登记证书和检验报告（</w:t>
            </w:r>
            <w:r>
              <w:rPr>
                <w:rFonts w:hint="eastAsia" w:eastAsia="国标宋体" w:cs="Times New Roman"/>
                <w:snapToGrid w:val="0"/>
                <w:color w:val="auto"/>
                <w:spacing w:val="8"/>
                <w:sz w:val="24"/>
                <w:szCs w:val="24"/>
                <w:lang w:val="en-US" w:eastAsia="zh-CN"/>
              </w:rPr>
              <w:t>含日常检查、年度检查报告</w:t>
            </w:r>
            <w:r>
              <w:rPr>
                <w:rFonts w:hint="default" w:ascii="Times New Roman" w:hAnsi="Times New Roman" w:eastAsia="国标宋体" w:cs="Times New Roman"/>
                <w:snapToGrid w:val="0"/>
                <w:color w:val="auto"/>
                <w:spacing w:val="8"/>
                <w:sz w:val="24"/>
                <w:szCs w:val="24"/>
                <w:lang w:val="en-US" w:eastAsia="zh-CN"/>
              </w:rPr>
              <w:t>、安全附件及仪表检定校准报告等）</w:t>
            </w:r>
            <w:r>
              <w:rPr>
                <w:rFonts w:hint="default" w:ascii="Times New Roman" w:hAnsi="Times New Roman" w:eastAsia="国标宋体" w:cs="Times New Roman"/>
                <w:snapToGrid w:val="0"/>
                <w:color w:val="auto"/>
                <w:spacing w:val="8"/>
                <w:sz w:val="24"/>
                <w:szCs w:val="24"/>
                <w:lang w:eastAsia="zh-CN"/>
              </w:rPr>
              <w:t>。</w:t>
            </w:r>
          </w:p>
          <w:p w14:paraId="7E1F6733">
            <w:pPr>
              <w:adjustRightInd w:val="0"/>
              <w:snapToGrid w:val="0"/>
              <w:spacing w:line="240" w:lineRule="auto"/>
              <w:ind w:left="130"/>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lang w:val="en-US" w:eastAsia="zh-CN"/>
              </w:rPr>
              <w:t>④</w:t>
            </w:r>
            <w:r>
              <w:rPr>
                <w:rFonts w:hint="default" w:ascii="Times New Roman" w:hAnsi="Times New Roman" w:eastAsia="国标宋体" w:cs="Times New Roman"/>
                <w:snapToGrid w:val="0"/>
                <w:color w:val="auto"/>
                <w:spacing w:val="8"/>
                <w:szCs w:val="24"/>
              </w:rPr>
              <w:t>检验仪器设备应当是申请单位自有产权，不包含已报废及应报废的设备，但应包含临时停用、封存的设备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严禁临时租赁、借用、拼凑设备参加评审</w:t>
            </w:r>
            <w:r>
              <w:rPr>
                <w:rFonts w:hint="default" w:ascii="Times New Roman" w:hAnsi="Times New Roman" w:eastAsia="国标宋体" w:cs="Times New Roman"/>
                <w:snapToGrid w:val="0"/>
                <w:color w:val="auto"/>
                <w:spacing w:val="8"/>
                <w:szCs w:val="24"/>
                <w:lang w:eastAsia="zh-CN"/>
              </w:rPr>
              <w:t>。</w:t>
            </w:r>
          </w:p>
          <w:p w14:paraId="4AA3BD49">
            <w:pPr>
              <w:adjustRightInd w:val="0"/>
              <w:snapToGrid w:val="0"/>
              <w:spacing w:line="240" w:lineRule="auto"/>
              <w:ind w:left="130"/>
              <w:rPr>
                <w:rFonts w:hint="default" w:ascii="Times New Roman" w:hAnsi="Times New Roman" w:eastAsia="国标宋体" w:cs="Times New Roman"/>
                <w:snapToGrid w:val="0"/>
                <w:color w:val="auto"/>
                <w:spacing w:val="8"/>
                <w:szCs w:val="21"/>
                <w:lang w:val="en-US" w:eastAsia="zh-CN"/>
              </w:rPr>
            </w:pPr>
            <w:r>
              <w:rPr>
                <w:rFonts w:hint="default" w:ascii="Times New Roman" w:hAnsi="Times New Roman" w:eastAsia="国标宋体" w:cs="Times New Roman"/>
                <w:snapToGrid w:val="0"/>
                <w:color w:val="auto"/>
                <w:spacing w:val="8"/>
                <w:szCs w:val="24"/>
                <w:lang w:val="en-US" w:eastAsia="zh-CN"/>
              </w:rPr>
              <w:t>⑤</w:t>
            </w:r>
            <w:r>
              <w:rPr>
                <w:rFonts w:hint="default" w:ascii="Times New Roman" w:hAnsi="Times New Roman" w:eastAsia="国标宋体" w:cs="Times New Roman"/>
                <w:snapToGrid w:val="0"/>
                <w:color w:val="auto"/>
                <w:spacing w:val="8"/>
                <w:szCs w:val="24"/>
              </w:rPr>
              <w:t>无损检测外委的，应核查外委协议、</w:t>
            </w:r>
            <w:r>
              <w:rPr>
                <w:rFonts w:hint="eastAsia" w:ascii="Times New Roman" w:hAnsi="Times New Roman" w:eastAsia="国标宋体" w:cs="Times New Roman"/>
                <w:snapToGrid w:val="0"/>
                <w:color w:val="auto"/>
                <w:spacing w:val="8"/>
                <w:szCs w:val="24"/>
                <w:lang w:eastAsia="zh-CN"/>
              </w:rPr>
              <w:t>外委方资质证书</w:t>
            </w:r>
            <w:r>
              <w:rPr>
                <w:rFonts w:hint="default" w:ascii="Times New Roman" w:hAnsi="Times New Roman" w:eastAsia="国标宋体" w:cs="Times New Roman"/>
                <w:snapToGrid w:val="0"/>
                <w:color w:val="auto"/>
                <w:spacing w:val="8"/>
                <w:szCs w:val="24"/>
              </w:rPr>
              <w:t>、外委人员及用于申请单位检验的相关设备，申请单位可以不配置无损检测相应设备</w:t>
            </w:r>
            <w:r>
              <w:rPr>
                <w:rFonts w:hint="default" w:ascii="Times New Roman" w:hAnsi="Times New Roman" w:eastAsia="国标宋体" w:cs="Times New Roman"/>
                <w:snapToGrid w:val="0"/>
                <w:color w:val="auto"/>
                <w:spacing w:val="8"/>
                <w:szCs w:val="24"/>
                <w:lang w:eastAsia="zh-CN"/>
              </w:rPr>
              <w:t>，</w:t>
            </w:r>
            <w:r>
              <w:rPr>
                <w:rFonts w:hint="default" w:ascii="Times New Roman" w:hAnsi="Times New Roman" w:eastAsia="国标宋体" w:cs="Times New Roman"/>
                <w:snapToGrid w:val="0"/>
                <w:color w:val="auto"/>
                <w:spacing w:val="8"/>
                <w:szCs w:val="24"/>
              </w:rPr>
              <w:t>外委协议必须明确检验质量责任、安全责任划分。</w:t>
            </w:r>
          </w:p>
        </w:tc>
      </w:tr>
      <w:tr w14:paraId="241D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16" w:type="pct"/>
            <w:vAlign w:val="center"/>
          </w:tcPr>
          <w:p w14:paraId="488862B8">
            <w:pPr>
              <w:adjustRightInd w:val="0"/>
              <w:snapToGrid w:val="0"/>
              <w:spacing w:line="240" w:lineRule="auto"/>
              <w:ind w:left="133" w:right="164" w:hanging="12"/>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3"/>
                <w:szCs w:val="24"/>
              </w:rPr>
              <w:t>场地与设施</w:t>
            </w:r>
          </w:p>
        </w:tc>
        <w:tc>
          <w:tcPr>
            <w:tcW w:w="4183" w:type="pct"/>
          </w:tcPr>
          <w:p w14:paraId="1FB89232">
            <w:pPr>
              <w:adjustRightInd w:val="0"/>
              <w:snapToGrid w:val="0"/>
              <w:spacing w:line="240" w:lineRule="auto"/>
              <w:ind w:left="130"/>
              <w:rPr>
                <w:rFonts w:hint="eastAsia"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0"/>
                <w:szCs w:val="24"/>
              </w:rPr>
              <w:t>①自有产权的，核查</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p>
          <w:p w14:paraId="7CEF5922">
            <w:pPr>
              <w:adjustRightInd w:val="0"/>
              <w:snapToGrid w:val="0"/>
              <w:spacing w:line="240" w:lineRule="auto"/>
              <w:ind w:left="13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②租赁的，</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rPr>
              <w:t>租用、借用</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及出租方产权证明的复印件</w:t>
            </w:r>
            <w:r>
              <w:rPr>
                <w:rFonts w:hint="eastAsia" w:eastAsia="国标宋体" w:cs="Times New Roman"/>
                <w:snapToGrid w:val="0"/>
                <w:color w:val="auto"/>
                <w:spacing w:val="0"/>
                <w:szCs w:val="24"/>
                <w:lang w:eastAsia="zh-CN"/>
              </w:rPr>
              <w:t>，证明文件</w:t>
            </w:r>
            <w:r>
              <w:rPr>
                <w:rFonts w:hint="default" w:ascii="Times New Roman" w:hAnsi="Times New Roman" w:eastAsia="国标宋体" w:cs="Times New Roman"/>
                <w:snapToGrid w:val="0"/>
                <w:color w:val="auto"/>
                <w:spacing w:val="0"/>
                <w:szCs w:val="24"/>
              </w:rPr>
              <w:t>包括但不限于不动产权证</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土地及地面建筑物</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、租用合同</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自有产权除外</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rPr>
              <w:t>和租用场所范围的场地平面图</w:t>
            </w:r>
          </w:p>
          <w:p w14:paraId="7B793963">
            <w:pPr>
              <w:adjustRightInd w:val="0"/>
              <w:snapToGrid w:val="0"/>
              <w:spacing w:line="240" w:lineRule="auto"/>
              <w:ind w:left="130" w:right="0" w:firstLine="0"/>
              <w:rPr>
                <w:rFonts w:hint="default" w:ascii="Times New Roman" w:hAnsi="Times New Roman" w:eastAsia="国标宋体" w:cs="Times New Roman"/>
                <w:snapToGrid w:val="0"/>
                <w:color w:val="auto"/>
                <w:spacing w:val="0"/>
                <w:szCs w:val="21"/>
                <w:lang w:eastAsia="zh-CN"/>
              </w:rPr>
            </w:pPr>
            <w:r>
              <w:rPr>
                <w:rFonts w:hint="default" w:ascii="Times New Roman" w:hAnsi="Times New Roman" w:eastAsia="国标宋体" w:cs="Times New Roman"/>
                <w:snapToGrid w:val="0"/>
                <w:color w:val="auto"/>
                <w:spacing w:val="0"/>
                <w:szCs w:val="24"/>
                <w:lang w:eastAsia="zh-CN"/>
              </w:rPr>
              <w:t>③无场地不动产权属证明文件的，应当</w:t>
            </w: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0"/>
                <w:szCs w:val="24"/>
                <w:lang w:eastAsia="zh-CN"/>
              </w:rPr>
              <w:t>乡镇人民政府、街道办事处、管委会及以上人民政府出具的书面证明，证明内容应当载明</w:t>
            </w:r>
            <w:r>
              <w:rPr>
                <w:rFonts w:hint="eastAsia" w:eastAsia="国标宋体" w:cs="Times New Roman"/>
                <w:snapToGrid w:val="0"/>
                <w:color w:val="auto"/>
                <w:spacing w:val="0"/>
                <w:szCs w:val="24"/>
                <w:lang w:eastAsia="zh-CN"/>
              </w:rPr>
              <w:t>：</w:t>
            </w:r>
            <w:r>
              <w:rPr>
                <w:rFonts w:hint="default" w:ascii="Times New Roman" w:hAnsi="Times New Roman" w:eastAsia="国标宋体" w:cs="Times New Roman"/>
                <w:snapToGrid w:val="0"/>
                <w:color w:val="auto"/>
                <w:spacing w:val="0"/>
                <w:szCs w:val="24"/>
                <w:lang w:eastAsia="zh-CN"/>
              </w:rPr>
              <w:t>该建筑物不属于违法建筑，可作为场地开展检验检测相关活动。</w:t>
            </w:r>
          </w:p>
        </w:tc>
      </w:tr>
      <w:tr w14:paraId="468F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0FA095A6">
            <w:pPr>
              <w:adjustRightInd w:val="0"/>
              <w:snapToGrid w:val="0"/>
              <w:spacing w:line="240" w:lineRule="auto"/>
              <w:ind w:left="125" w:right="68" w:hanging="1"/>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法律</w:t>
            </w:r>
            <w:r>
              <w:rPr>
                <w:rFonts w:hint="default" w:ascii="Times New Roman" w:hAnsi="Times New Roman" w:eastAsia="国标宋体" w:cs="Times New Roman"/>
                <w:snapToGrid w:val="0"/>
                <w:color w:val="auto"/>
                <w:spacing w:val="-21"/>
                <w:szCs w:val="24"/>
              </w:rPr>
              <w:t>法</w:t>
            </w:r>
            <w:r>
              <w:rPr>
                <w:rFonts w:hint="default" w:ascii="Times New Roman" w:hAnsi="Times New Roman" w:eastAsia="国标宋体" w:cs="Times New Roman"/>
                <w:snapToGrid w:val="0"/>
                <w:color w:val="auto"/>
                <w:spacing w:val="-17"/>
                <w:szCs w:val="24"/>
              </w:rPr>
              <w:t>规文</w:t>
            </w:r>
            <w:r>
              <w:rPr>
                <w:rFonts w:hint="default" w:ascii="Times New Roman" w:hAnsi="Times New Roman" w:eastAsia="国标宋体" w:cs="Times New Roman"/>
                <w:snapToGrid w:val="0"/>
                <w:color w:val="auto"/>
                <w:szCs w:val="24"/>
              </w:rPr>
              <w:t>件</w:t>
            </w:r>
          </w:p>
        </w:tc>
        <w:tc>
          <w:tcPr>
            <w:tcW w:w="4183" w:type="pct"/>
            <w:vAlign w:val="center"/>
          </w:tcPr>
          <w:p w14:paraId="77F4C508">
            <w:pPr>
              <w:adjustRightInd w:val="0"/>
              <w:snapToGrid w:val="0"/>
              <w:spacing w:line="240" w:lineRule="auto"/>
              <w:ind w:left="130" w:right="238" w:hanging="11"/>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0"/>
                <w:szCs w:val="24"/>
                <w:lang w:eastAsia="zh-CN"/>
              </w:rPr>
              <w:t>核查</w:t>
            </w:r>
            <w:r>
              <w:rPr>
                <w:rFonts w:hint="default" w:ascii="Times New Roman" w:hAnsi="Times New Roman" w:eastAsia="国标宋体" w:cs="Times New Roman"/>
                <w:snapToGrid w:val="0"/>
                <w:color w:val="auto"/>
                <w:spacing w:val="9"/>
                <w:szCs w:val="24"/>
              </w:rPr>
              <w:t>法律、法规、规章、安全技术规范和标准</w:t>
            </w:r>
            <w:r>
              <w:rPr>
                <w:rFonts w:hint="default" w:ascii="Times New Roman" w:hAnsi="Times New Roman" w:eastAsia="国标宋体" w:cs="Times New Roman"/>
                <w:snapToGrid w:val="0"/>
                <w:color w:val="auto"/>
                <w:spacing w:val="-11"/>
                <w:szCs w:val="24"/>
              </w:rPr>
              <w:t>目录</w:t>
            </w:r>
            <w:r>
              <w:rPr>
                <w:rFonts w:hint="eastAsia" w:eastAsia="国标宋体" w:cs="Times New Roman"/>
                <w:snapToGrid w:val="0"/>
                <w:color w:val="auto"/>
                <w:spacing w:val="-11"/>
                <w:szCs w:val="24"/>
                <w:lang w:eastAsia="zh-CN"/>
              </w:rPr>
              <w:t>及</w:t>
            </w:r>
            <w:r>
              <w:rPr>
                <w:rFonts w:hint="default" w:ascii="Times New Roman" w:hAnsi="Times New Roman" w:eastAsia="国标宋体" w:cs="Times New Roman"/>
                <w:snapToGrid w:val="0"/>
                <w:color w:val="auto"/>
                <w:spacing w:val="-1"/>
                <w:szCs w:val="24"/>
              </w:rPr>
              <w:t>实</w:t>
            </w:r>
            <w:r>
              <w:rPr>
                <w:rFonts w:hint="default" w:ascii="Times New Roman" w:hAnsi="Times New Roman" w:eastAsia="国标宋体" w:cs="Times New Roman"/>
                <w:snapToGrid w:val="0"/>
                <w:color w:val="auto"/>
                <w:szCs w:val="24"/>
              </w:rPr>
              <w:t>物。</w:t>
            </w:r>
          </w:p>
        </w:tc>
      </w:tr>
      <w:tr w14:paraId="2A8650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18BB0E88">
            <w:pPr>
              <w:adjustRightInd w:val="0"/>
              <w:snapToGrid w:val="0"/>
              <w:spacing w:line="240" w:lineRule="auto"/>
              <w:ind w:left="125" w:right="68" w:hanging="1"/>
              <w:jc w:val="center"/>
              <w:rPr>
                <w:rFonts w:hint="default" w:ascii="Times New Roman" w:hAnsi="Times New Roman" w:eastAsia="国标宋体" w:cs="Times New Roman"/>
                <w:snapToGrid w:val="0"/>
                <w:color w:val="auto"/>
                <w:spacing w:val="2"/>
                <w:szCs w:val="21"/>
                <w:lang w:eastAsia="zh-CN"/>
              </w:rPr>
            </w:pPr>
            <w:r>
              <w:rPr>
                <w:rFonts w:hint="default" w:ascii="Times New Roman" w:hAnsi="Times New Roman" w:eastAsia="国标宋体" w:cs="Times New Roman"/>
                <w:snapToGrid w:val="0"/>
                <w:color w:val="auto"/>
                <w:spacing w:val="2"/>
                <w:szCs w:val="24"/>
                <w:lang w:eastAsia="zh-CN"/>
              </w:rPr>
              <w:t>固定资产</w:t>
            </w:r>
          </w:p>
        </w:tc>
        <w:tc>
          <w:tcPr>
            <w:tcW w:w="4183" w:type="pct"/>
            <w:vAlign w:val="center"/>
          </w:tcPr>
          <w:p w14:paraId="00CC0C7A">
            <w:pPr>
              <w:adjustRightInd w:val="0"/>
              <w:snapToGrid w:val="0"/>
              <w:spacing w:line="240" w:lineRule="auto"/>
              <w:ind w:left="130" w:right="238" w:hanging="11"/>
              <w:rPr>
                <w:rFonts w:hint="default" w:ascii="Times New Roman" w:hAnsi="Times New Roman" w:eastAsia="国标宋体" w:cs="Times New Roman"/>
                <w:snapToGrid w:val="0"/>
                <w:color w:val="auto"/>
                <w:szCs w:val="21"/>
                <w:lang w:val="en-US" w:eastAsia="zh-CN"/>
              </w:rPr>
            </w:pPr>
            <w:r>
              <w:rPr>
                <w:rFonts w:hint="eastAsia" w:eastAsia="国标宋体" w:cs="Times New Roman"/>
                <w:snapToGrid w:val="0"/>
                <w:color w:val="auto"/>
                <w:spacing w:val="0"/>
                <w:szCs w:val="24"/>
                <w:lang w:eastAsia="zh-CN"/>
              </w:rPr>
              <w:t>核查本指南</w:t>
            </w:r>
            <w:r>
              <w:rPr>
                <w:rFonts w:hint="default" w:ascii="Times New Roman" w:hAnsi="Times New Roman" w:eastAsia="国标宋体" w:cs="Times New Roman"/>
                <w:snapToGrid w:val="0"/>
                <w:color w:val="auto"/>
                <w:szCs w:val="24"/>
              </w:rPr>
              <w:t>4.1所述固定资产原值的总和（不含租用），核查发票</w:t>
            </w:r>
            <w:r>
              <w:rPr>
                <w:rFonts w:hint="default" w:ascii="Times New Roman" w:hAnsi="Times New Roman" w:eastAsia="国标宋体" w:cs="Times New Roman"/>
                <w:snapToGrid w:val="0"/>
                <w:color w:val="auto"/>
                <w:szCs w:val="24"/>
                <w:lang w:eastAsia="zh-CN"/>
              </w:rPr>
              <w:t>和台账</w:t>
            </w:r>
            <w:r>
              <w:rPr>
                <w:rFonts w:hint="eastAsia" w:eastAsia="国标宋体" w:cs="Times New Roman"/>
                <w:snapToGrid w:val="0"/>
                <w:color w:val="auto"/>
                <w:szCs w:val="24"/>
                <w:lang w:eastAsia="zh-CN"/>
              </w:rPr>
              <w:t>。</w:t>
            </w:r>
            <w:r>
              <w:rPr>
                <w:rFonts w:hint="default" w:ascii="Times New Roman" w:hAnsi="Times New Roman" w:eastAsia="国标宋体" w:cs="Times New Roman"/>
                <w:snapToGrid w:val="0"/>
                <w:color w:val="auto"/>
                <w:spacing w:val="0"/>
                <w:szCs w:val="24"/>
                <w:lang w:eastAsia="zh-CN"/>
              </w:rPr>
              <w:t>无</w:t>
            </w:r>
            <w:r>
              <w:rPr>
                <w:rFonts w:hint="eastAsia" w:ascii="Times New Roman" w:hAnsi="Times New Roman" w:eastAsia="国标宋体" w:cs="Times New Roman"/>
                <w:snapToGrid w:val="0"/>
                <w:color w:val="auto"/>
                <w:spacing w:val="0"/>
                <w:szCs w:val="24"/>
                <w:lang w:eastAsia="zh-CN"/>
              </w:rPr>
              <w:t>相关材料的核查</w:t>
            </w:r>
            <w:r>
              <w:rPr>
                <w:rFonts w:hint="default" w:ascii="Times New Roman" w:hAnsi="Times New Roman" w:eastAsia="国标宋体" w:cs="Times New Roman"/>
                <w:snapToGrid w:val="0"/>
                <w:color w:val="auto"/>
                <w:szCs w:val="24"/>
                <w:lang w:eastAsia="zh-CN"/>
              </w:rPr>
              <w:t>第三方单位审计报告、</w:t>
            </w:r>
            <w:r>
              <w:rPr>
                <w:rFonts w:hint="default" w:ascii="Times New Roman" w:hAnsi="Times New Roman" w:eastAsia="国标宋体" w:cs="Times New Roman"/>
                <w:snapToGrid w:val="0"/>
                <w:color w:val="auto"/>
                <w:szCs w:val="21"/>
                <w:lang w:val="en-US" w:eastAsia="zh-CN"/>
              </w:rPr>
              <w:t>《资产负债表》等。</w:t>
            </w:r>
          </w:p>
          <w:p w14:paraId="3E875D96">
            <w:pPr>
              <w:adjustRightInd w:val="0"/>
              <w:snapToGrid w:val="0"/>
              <w:spacing w:line="240" w:lineRule="auto"/>
              <w:ind w:left="130" w:right="238" w:hanging="11"/>
              <w:rPr>
                <w:rFonts w:hint="default" w:ascii="Times New Roman" w:hAnsi="Times New Roman" w:eastAsia="国标宋体" w:cs="Times New Roman"/>
                <w:snapToGrid w:val="0"/>
                <w:color w:val="auto"/>
                <w:spacing w:val="18"/>
                <w:szCs w:val="21"/>
              </w:rPr>
            </w:pPr>
            <w:r>
              <w:rPr>
                <w:rFonts w:hint="eastAsia" w:eastAsia="国标宋体" w:cs="Times New Roman"/>
                <w:snapToGrid w:val="0"/>
                <w:color w:val="auto"/>
                <w:szCs w:val="24"/>
                <w:lang w:val="en-US" w:eastAsia="zh-CN"/>
              </w:rPr>
              <w:t>甲类检验机构B1级固定资产原值不低于300万元</w:t>
            </w:r>
            <w:r>
              <w:rPr>
                <w:rFonts w:hint="default" w:ascii="Times New Roman" w:hAnsi="Times New Roman" w:eastAsia="国标宋体" w:cs="Times New Roman"/>
                <w:snapToGrid w:val="0"/>
                <w:color w:val="auto"/>
                <w:szCs w:val="24"/>
                <w:lang w:val="en-US" w:eastAsia="zh-CN"/>
              </w:rPr>
              <w:t>。</w:t>
            </w:r>
          </w:p>
        </w:tc>
      </w:tr>
      <w:tr w14:paraId="17070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6" w:type="pct"/>
            <w:vAlign w:val="center"/>
          </w:tcPr>
          <w:p w14:paraId="2644E611">
            <w:pPr>
              <w:snapToGrid w:val="0"/>
              <w:spacing w:line="300" w:lineRule="auto"/>
              <w:ind w:left="125" w:leftChars="0" w:right="68" w:rightChars="0" w:hanging="1" w:firstLineChars="0"/>
              <w:jc w:val="center"/>
              <w:rPr>
                <w:rFonts w:hint="default" w:ascii="Times New Roman" w:hAnsi="Times New Roman" w:eastAsia="国标宋体" w:cs="Times New Roman"/>
                <w:snapToGrid w:val="0"/>
                <w:color w:val="auto"/>
                <w:spacing w:val="2"/>
                <w:szCs w:val="21"/>
                <w:lang w:eastAsia="zh-CN"/>
              </w:rPr>
            </w:pPr>
            <w:r>
              <w:rPr>
                <w:rFonts w:hint="default" w:ascii="Times New Roman" w:hAnsi="Times New Roman" w:eastAsia="国标宋体" w:cs="Times New Roman"/>
                <w:snapToGrid w:val="0"/>
                <w:color w:val="auto"/>
                <w:spacing w:val="2"/>
                <w:szCs w:val="24"/>
                <w:lang w:eastAsia="zh-CN"/>
              </w:rPr>
              <w:t>申请</w:t>
            </w:r>
            <w:r>
              <w:rPr>
                <w:rFonts w:hint="default" w:ascii="Times New Roman" w:hAnsi="Times New Roman" w:eastAsia="国标宋体" w:cs="Times New Roman"/>
                <w:snapToGrid w:val="0"/>
                <w:color w:val="auto"/>
                <w:spacing w:val="2"/>
                <w:szCs w:val="24"/>
                <w:lang w:val="en-US" w:eastAsia="zh-CN"/>
              </w:rPr>
              <w:t>RD6项目的应当明确</w:t>
            </w:r>
            <w:r>
              <w:rPr>
                <w:rFonts w:hint="default" w:ascii="Times New Roman" w:hAnsi="Times New Roman" w:eastAsia="国标宋体" w:cs="Times New Roman"/>
                <w:snapToGrid w:val="0"/>
                <w:color w:val="auto"/>
                <w:spacing w:val="2"/>
                <w:szCs w:val="24"/>
                <w:lang w:eastAsia="zh-CN"/>
              </w:rPr>
              <w:t>是否从事气瓶安全评估工作</w:t>
            </w:r>
          </w:p>
        </w:tc>
        <w:tc>
          <w:tcPr>
            <w:tcW w:w="4183" w:type="pct"/>
            <w:vAlign w:val="center"/>
          </w:tcPr>
          <w:p w14:paraId="738204B5">
            <w:pPr>
              <w:snapToGrid w:val="0"/>
              <w:spacing w:line="300" w:lineRule="auto"/>
              <w:ind w:left="130" w:right="238" w:hanging="11"/>
              <w:rPr>
                <w:rFonts w:hint="default" w:ascii="Times New Roman" w:hAnsi="Times New Roman" w:eastAsia="国标宋体" w:cs="Times New Roman"/>
                <w:snapToGrid w:val="0"/>
                <w:color w:val="auto"/>
                <w:spacing w:val="0"/>
                <w:szCs w:val="21"/>
                <w:lang w:val="en-US" w:eastAsia="zh-CN"/>
              </w:rPr>
            </w:pPr>
            <w:r>
              <w:rPr>
                <w:rFonts w:hint="default" w:ascii="Times New Roman" w:hAnsi="Times New Roman" w:eastAsia="国标宋体" w:cs="Times New Roman"/>
                <w:snapToGrid w:val="0"/>
                <w:color w:val="auto"/>
                <w:spacing w:val="0"/>
                <w:szCs w:val="24"/>
              </w:rPr>
              <w:t>①</w:t>
            </w:r>
            <w:r>
              <w:rPr>
                <w:rFonts w:hint="default" w:ascii="Times New Roman" w:hAnsi="Times New Roman" w:eastAsia="国标宋体" w:cs="Times New Roman"/>
                <w:snapToGrid w:val="0"/>
                <w:color w:val="auto"/>
                <w:spacing w:val="0"/>
                <w:szCs w:val="24"/>
                <w:lang w:eastAsia="zh-CN"/>
              </w:rPr>
              <w:t>需从事的，安全评估的批准人员应具备压力容器检验师资格，或者为持有</w:t>
            </w:r>
            <w:r>
              <w:rPr>
                <w:rFonts w:hint="default" w:ascii="Times New Roman" w:hAnsi="Times New Roman" w:eastAsia="国标宋体" w:cs="Times New Roman"/>
                <w:snapToGrid w:val="0"/>
                <w:color w:val="auto"/>
                <w:spacing w:val="0"/>
                <w:szCs w:val="24"/>
                <w:lang w:val="en-US" w:eastAsia="zh-CN"/>
              </w:rPr>
              <w:t>8年及以上气瓶检验员资格的工程师，需</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pacing w:val="0"/>
                <w:szCs w:val="24"/>
                <w:lang w:val="en-US" w:eastAsia="zh-CN"/>
              </w:rPr>
              <w:t>其相应证明文件。</w:t>
            </w:r>
          </w:p>
          <w:p w14:paraId="574A6367">
            <w:pPr>
              <w:snapToGrid w:val="0"/>
              <w:spacing w:line="300" w:lineRule="auto"/>
              <w:ind w:left="130" w:leftChars="0" w:right="238" w:rightChars="0" w:hanging="11" w:firstLineChars="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0"/>
                <w:szCs w:val="24"/>
              </w:rPr>
              <w:t>②</w:t>
            </w:r>
            <w:r>
              <w:rPr>
                <w:rFonts w:hint="default" w:ascii="Times New Roman" w:hAnsi="Times New Roman" w:eastAsia="国标宋体" w:cs="Times New Roman"/>
                <w:snapToGrid w:val="0"/>
                <w:color w:val="auto"/>
                <w:szCs w:val="24"/>
              </w:rPr>
              <w:t>不从事气瓶安全评估工作的，须</w:t>
            </w:r>
            <w:r>
              <w:rPr>
                <w:rFonts w:hint="eastAsia" w:eastAsia="国标宋体" w:cs="Times New Roman"/>
                <w:snapToGrid w:val="0"/>
                <w:color w:val="auto"/>
                <w:spacing w:val="0"/>
                <w:szCs w:val="24"/>
                <w:lang w:val="en-US" w:eastAsia="zh-CN"/>
              </w:rPr>
              <w:t>核查</w:t>
            </w:r>
            <w:r>
              <w:rPr>
                <w:rFonts w:hint="default" w:ascii="Times New Roman" w:hAnsi="Times New Roman" w:eastAsia="国标宋体" w:cs="Times New Roman"/>
                <w:snapToGrid w:val="0"/>
                <w:color w:val="auto"/>
                <w:szCs w:val="24"/>
              </w:rPr>
              <w:t>专项声明承诺，经属地特种设备安全监察机构签字并加盖公章后方为有效。</w:t>
            </w:r>
          </w:p>
        </w:tc>
      </w:tr>
    </w:tbl>
    <w:p w14:paraId="23DB76E1">
      <w:pPr>
        <w:rPr>
          <w:rFonts w:hint="default" w:ascii="Times New Roman" w:hAnsi="Times New Roman" w:eastAsia="国标宋体" w:cs="Times New Roman"/>
          <w:color w:val="auto"/>
          <w:sz w:val="28"/>
          <w:szCs w:val="21"/>
        </w:rPr>
      </w:pPr>
    </w:p>
    <w:p w14:paraId="6F12D313">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6885FA1C">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7" w:name="_Toc1696618439"/>
      <w:r>
        <w:rPr>
          <w:rFonts w:hint="default" w:ascii="Times New Roman" w:hAnsi="Times New Roman" w:eastAsia="国标宋体" w:cs="Times New Roman"/>
          <w:color w:val="auto"/>
          <w:sz w:val="28"/>
          <w:szCs w:val="28"/>
          <w:lang w:val="en-US" w:eastAsia="zh-CN"/>
        </w:rPr>
        <w:t>A2评审现场核查的人员</w:t>
      </w:r>
      <w:bookmarkEnd w:id="87"/>
    </w:p>
    <w:p w14:paraId="24718C6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3D669BF0">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 xml:space="preserve">A2.1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val="en-US" w:eastAsia="zh-CN"/>
        </w:rPr>
        <w:t>持证人员</w:t>
      </w:r>
    </w:p>
    <w:p w14:paraId="54B3D02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申请甲类检验机构</w:t>
      </w:r>
      <w:r>
        <w:rPr>
          <w:rFonts w:hint="default" w:ascii="Times New Roman" w:hAnsi="Times New Roman" w:eastAsia="国标宋体" w:cs="Times New Roman"/>
          <w:color w:val="auto"/>
          <w:spacing w:val="8"/>
          <w:sz w:val="28"/>
          <w:szCs w:val="28"/>
          <w:lang w:val="en-US" w:eastAsia="zh-CN"/>
        </w:rPr>
        <w:t>B1级</w:t>
      </w:r>
      <w:r>
        <w:rPr>
          <w:rFonts w:hint="default" w:ascii="Times New Roman" w:hAnsi="Times New Roman" w:eastAsia="国标宋体" w:cs="Times New Roman"/>
          <w:color w:val="auto"/>
          <w:spacing w:val="8"/>
          <w:sz w:val="28"/>
          <w:szCs w:val="28"/>
          <w:lang w:eastAsia="zh-CN"/>
        </w:rPr>
        <w:t>的单位，评审组将</w:t>
      </w:r>
      <w:r>
        <w:rPr>
          <w:rFonts w:hint="eastAsia" w:eastAsia="国标宋体" w:cs="Times New Roman"/>
          <w:color w:val="auto"/>
          <w:spacing w:val="8"/>
          <w:sz w:val="28"/>
          <w:szCs w:val="28"/>
          <w:lang w:eastAsia="zh-CN"/>
        </w:rPr>
        <w:t>按照《核准规则》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db对应项目和本指南4.3条的要求</w:t>
      </w:r>
      <w:r>
        <w:rPr>
          <w:rFonts w:hint="eastAsia"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lang w:eastAsia="zh-CN"/>
        </w:rPr>
        <w:t>特种设备</w:t>
      </w:r>
      <w:r>
        <w:rPr>
          <w:rFonts w:hint="default" w:ascii="Times New Roman" w:hAnsi="Times New Roman" w:eastAsia="国标宋体" w:cs="Times New Roman"/>
          <w:color w:val="auto"/>
          <w:spacing w:val="8"/>
          <w:sz w:val="28"/>
          <w:szCs w:val="28"/>
        </w:rPr>
        <w:t>检验检测</w:t>
      </w:r>
      <w:r>
        <w:rPr>
          <w:rFonts w:hint="default" w:ascii="Times New Roman" w:hAnsi="Times New Roman" w:eastAsia="国标宋体" w:cs="Times New Roman"/>
          <w:color w:val="auto"/>
          <w:spacing w:val="8"/>
          <w:sz w:val="28"/>
          <w:szCs w:val="28"/>
          <w:lang w:eastAsia="zh-CN"/>
        </w:rPr>
        <w:t>全职</w:t>
      </w:r>
      <w:r>
        <w:rPr>
          <w:rFonts w:hint="default" w:ascii="Times New Roman" w:hAnsi="Times New Roman" w:eastAsia="国标宋体" w:cs="Times New Roman"/>
          <w:color w:val="auto"/>
          <w:spacing w:val="8"/>
          <w:sz w:val="28"/>
          <w:szCs w:val="28"/>
        </w:rPr>
        <w:t>持证人员</w:t>
      </w:r>
      <w:r>
        <w:rPr>
          <w:rFonts w:hint="default" w:ascii="Times New Roman" w:hAnsi="Times New Roman" w:eastAsia="国标宋体" w:cs="Times New Roman"/>
          <w:color w:val="auto"/>
          <w:spacing w:val="8"/>
          <w:sz w:val="28"/>
          <w:szCs w:val="28"/>
          <w:lang w:val="en-US" w:eastAsia="zh-CN"/>
        </w:rPr>
        <w:t>。</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38B833A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44BEEF58">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556EAEB4">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53411EA2">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szCs w:val="24"/>
                <w:lang w:bidi="ar"/>
              </w:rPr>
              <w:t>全职持证</w:t>
            </w:r>
            <w:r>
              <w:rPr>
                <w:rFonts w:hint="default" w:ascii="Times New Roman" w:hAnsi="Times New Roman" w:eastAsia="国标宋体" w:cs="Times New Roman"/>
                <w:b/>
                <w:bCs/>
                <w:color w:val="auto"/>
                <w:kern w:val="0"/>
                <w:sz w:val="24"/>
                <w:szCs w:val="24"/>
                <w:lang w:val="en-US" w:eastAsia="zh-CN" w:bidi="ar"/>
              </w:rPr>
              <w:t>人员配备</w:t>
            </w:r>
          </w:p>
        </w:tc>
      </w:tr>
      <w:tr w14:paraId="5FE785B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2CCC8696">
            <w:pPr>
              <w:keepNext w:val="0"/>
              <w:keepLines w:val="0"/>
              <w:widowControl/>
              <w:suppressLineNumbers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1</w:t>
            </w:r>
          </w:p>
        </w:tc>
        <w:tc>
          <w:tcPr>
            <w:tcW w:w="856" w:type="pct"/>
            <w:tcBorders>
              <w:tl2br w:val="nil"/>
              <w:tr2bl w:val="nil"/>
            </w:tcBorders>
            <w:shd w:val="clear" w:color="auto" w:fill="auto"/>
            <w:tcMar>
              <w:top w:w="120" w:type="dxa"/>
              <w:left w:w="120" w:type="dxa"/>
              <w:bottom w:w="120" w:type="dxa"/>
              <w:right w:w="120" w:type="dxa"/>
            </w:tcMar>
            <w:vAlign w:val="center"/>
          </w:tcPr>
          <w:p w14:paraId="3E86FCCF">
            <w:pPr>
              <w:keepNext w:val="0"/>
              <w:keepLines w:val="0"/>
              <w:widowControl/>
              <w:suppressLineNumbers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GD2</w:t>
            </w:r>
          </w:p>
        </w:tc>
        <w:tc>
          <w:tcPr>
            <w:tcW w:w="3736" w:type="pct"/>
            <w:tcBorders>
              <w:tl2br w:val="nil"/>
              <w:tr2bl w:val="nil"/>
            </w:tcBorders>
            <w:shd w:val="clear" w:color="auto" w:fill="auto"/>
            <w:tcMar>
              <w:top w:w="120" w:type="dxa"/>
              <w:left w:w="120" w:type="dxa"/>
              <w:bottom w:w="120" w:type="dxa"/>
              <w:right w:w="120" w:type="dxa"/>
            </w:tcMar>
            <w:vAlign w:val="center"/>
          </w:tcPr>
          <w:p w14:paraId="26B813B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1.锅炉</w:t>
            </w:r>
            <w:r>
              <w:rPr>
                <w:rFonts w:hint="eastAsia" w:ascii="Times New Roman" w:hAnsi="Times New Roman" w:eastAsia="国标宋体" w:cs="Times New Roman"/>
                <w:color w:val="auto"/>
                <w:kern w:val="0"/>
                <w:sz w:val="24"/>
                <w:szCs w:val="24"/>
                <w:lang w:val="en-US" w:eastAsia="zh-CN" w:bidi="ar"/>
              </w:rPr>
              <w:t>检验师</w:t>
            </w:r>
            <w:r>
              <w:rPr>
                <w:rFonts w:hint="default" w:ascii="Times New Roman" w:hAnsi="Times New Roman" w:eastAsia="国标宋体" w:cs="Times New Roman"/>
                <w:color w:val="auto"/>
                <w:kern w:val="0"/>
                <w:sz w:val="24"/>
                <w:szCs w:val="24"/>
                <w:lang w:val="en-US" w:eastAsia="zh-CN" w:bidi="ar"/>
              </w:rPr>
              <w:t>12名，其中具有材料类、能源动力类专业教育背景的专业技术人员各不少于2名；</w:t>
            </w:r>
          </w:p>
          <w:p w14:paraId="3411959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2.锅炉</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12名；</w:t>
            </w:r>
          </w:p>
          <w:p w14:paraId="37F6FD8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3.Ⅲ级RT、UT、MT、PT无损检测人员各2人项；</w:t>
            </w:r>
          </w:p>
          <w:p w14:paraId="5E6044B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4.Ⅱ级RT、UT、MT、PT无损检测人员各4人项；</w:t>
            </w:r>
          </w:p>
          <w:p w14:paraId="227422A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5.锅炉水（介）质检验师2名；</w:t>
            </w:r>
          </w:p>
          <w:p w14:paraId="5D24A4C2">
            <w:pPr>
              <w:keepNext w:val="0"/>
              <w:keepLines w:val="0"/>
              <w:widowControl/>
              <w:suppressLineNumbers w:val="0"/>
              <w:jc w:val="left"/>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6.锅炉水（介）质检验员2名</w:t>
            </w:r>
          </w:p>
        </w:tc>
      </w:tr>
      <w:tr w14:paraId="479D05C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4F8A839F">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w:t>
            </w:r>
          </w:p>
        </w:tc>
        <w:tc>
          <w:tcPr>
            <w:tcW w:w="856" w:type="pct"/>
            <w:tcBorders>
              <w:tl2br w:val="nil"/>
              <w:tr2bl w:val="nil"/>
            </w:tcBorders>
            <w:shd w:val="clear" w:color="auto" w:fill="auto"/>
            <w:tcMar>
              <w:top w:w="120" w:type="dxa"/>
              <w:left w:w="120" w:type="dxa"/>
              <w:bottom w:w="120" w:type="dxa"/>
              <w:right w:w="120" w:type="dxa"/>
            </w:tcMar>
            <w:vAlign w:val="center"/>
          </w:tcPr>
          <w:p w14:paraId="455A6D44">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GD3</w:t>
            </w:r>
          </w:p>
        </w:tc>
        <w:tc>
          <w:tcPr>
            <w:tcW w:w="3736" w:type="pct"/>
            <w:tcBorders>
              <w:tl2br w:val="nil"/>
              <w:tr2bl w:val="nil"/>
            </w:tcBorders>
            <w:shd w:val="clear" w:color="auto" w:fill="auto"/>
            <w:tcMar>
              <w:top w:w="120" w:type="dxa"/>
              <w:left w:w="120" w:type="dxa"/>
              <w:bottom w:w="120" w:type="dxa"/>
              <w:right w:w="120" w:type="dxa"/>
            </w:tcMar>
            <w:vAlign w:val="center"/>
          </w:tcPr>
          <w:p w14:paraId="43F7672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1.锅炉</w:t>
            </w:r>
            <w:r>
              <w:rPr>
                <w:rFonts w:hint="eastAsia" w:ascii="Times New Roman" w:hAnsi="Times New Roman" w:eastAsia="国标宋体" w:cs="Times New Roman"/>
                <w:color w:val="auto"/>
                <w:kern w:val="0"/>
                <w:sz w:val="24"/>
                <w:szCs w:val="24"/>
                <w:lang w:val="en-US" w:eastAsia="zh-CN" w:bidi="ar"/>
              </w:rPr>
              <w:t>检验师</w:t>
            </w:r>
            <w:r>
              <w:rPr>
                <w:rFonts w:hint="default" w:ascii="Times New Roman" w:hAnsi="Times New Roman" w:eastAsia="国标宋体" w:cs="Times New Roman"/>
                <w:color w:val="auto"/>
                <w:kern w:val="0"/>
                <w:sz w:val="24"/>
                <w:szCs w:val="24"/>
                <w:lang w:val="en-US" w:eastAsia="zh-CN" w:bidi="ar"/>
              </w:rPr>
              <w:t>4名；</w:t>
            </w:r>
          </w:p>
          <w:p w14:paraId="1005CD5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2.锅炉</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8名；</w:t>
            </w:r>
          </w:p>
          <w:p w14:paraId="2089418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3.Ⅲ级RT或者UT、MT或者PT无损检测人员各1人项；</w:t>
            </w:r>
          </w:p>
          <w:p w14:paraId="0A05BF1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4.Ⅱ级RT、UT、MT、PT无损检测人员各2人项；</w:t>
            </w:r>
          </w:p>
          <w:p w14:paraId="2572A3C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5.锅炉水（介）质检验师1名；</w:t>
            </w:r>
          </w:p>
          <w:p w14:paraId="280FEA4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6.锅炉水（介）质检验员1名</w:t>
            </w:r>
          </w:p>
        </w:tc>
      </w:tr>
      <w:tr w14:paraId="6D99544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05D9448E">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w:t>
            </w:r>
          </w:p>
        </w:tc>
        <w:tc>
          <w:tcPr>
            <w:tcW w:w="856" w:type="pct"/>
            <w:tcBorders>
              <w:tl2br w:val="nil"/>
              <w:tr2bl w:val="nil"/>
            </w:tcBorders>
            <w:shd w:val="clear" w:color="auto" w:fill="auto"/>
            <w:tcMar>
              <w:top w:w="120" w:type="dxa"/>
              <w:left w:w="120" w:type="dxa"/>
              <w:bottom w:w="120" w:type="dxa"/>
              <w:right w:w="120" w:type="dxa"/>
            </w:tcMar>
            <w:vAlign w:val="center"/>
          </w:tcPr>
          <w:p w14:paraId="175F0B2E">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RD2</w:t>
            </w:r>
          </w:p>
        </w:tc>
        <w:tc>
          <w:tcPr>
            <w:tcW w:w="3736" w:type="pct"/>
            <w:tcBorders>
              <w:tl2br w:val="nil"/>
              <w:tr2bl w:val="nil"/>
            </w:tcBorders>
            <w:shd w:val="clear" w:color="auto" w:fill="auto"/>
            <w:tcMar>
              <w:top w:w="120" w:type="dxa"/>
              <w:left w:w="120" w:type="dxa"/>
              <w:bottom w:w="120" w:type="dxa"/>
              <w:right w:w="120" w:type="dxa"/>
            </w:tcMar>
            <w:vAlign w:val="center"/>
          </w:tcPr>
          <w:p w14:paraId="63BA639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1.压力容器检验师6名，其中具有材料类、机械类专业教育背景的专业技术人员不少于2名；</w:t>
            </w:r>
          </w:p>
          <w:p w14:paraId="470F7D8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2.压力容器</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10名；</w:t>
            </w:r>
          </w:p>
          <w:p w14:paraId="2770E80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3.Ⅲ级RT或者UT、MT或PT无损检测人员各1人项；</w:t>
            </w:r>
          </w:p>
          <w:p w14:paraId="136281EA">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4.Ⅱ级RT、UT、MT、PT无损检测人员各2人项；</w:t>
            </w:r>
          </w:p>
          <w:p w14:paraId="69F28B5C">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5.Ⅱ级TOFD无损检测人员2人项</w:t>
            </w:r>
          </w:p>
        </w:tc>
      </w:tr>
      <w:tr w14:paraId="13EC94C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20F1190B">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w:t>
            </w:r>
          </w:p>
        </w:tc>
        <w:tc>
          <w:tcPr>
            <w:tcW w:w="856" w:type="pct"/>
            <w:tcBorders>
              <w:tl2br w:val="nil"/>
              <w:tr2bl w:val="nil"/>
            </w:tcBorders>
            <w:shd w:val="clear" w:color="auto" w:fill="auto"/>
            <w:tcMar>
              <w:top w:w="120" w:type="dxa"/>
              <w:left w:w="120" w:type="dxa"/>
              <w:bottom w:w="120" w:type="dxa"/>
              <w:right w:w="120" w:type="dxa"/>
            </w:tcMar>
            <w:vAlign w:val="center"/>
          </w:tcPr>
          <w:p w14:paraId="431191D0">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RD3</w:t>
            </w:r>
          </w:p>
        </w:tc>
        <w:tc>
          <w:tcPr>
            <w:tcW w:w="3736" w:type="pct"/>
            <w:tcBorders>
              <w:tl2br w:val="nil"/>
              <w:tr2bl w:val="nil"/>
            </w:tcBorders>
            <w:shd w:val="clear" w:color="auto" w:fill="auto"/>
            <w:tcMar>
              <w:top w:w="120" w:type="dxa"/>
              <w:left w:w="120" w:type="dxa"/>
              <w:bottom w:w="120" w:type="dxa"/>
              <w:right w:w="120" w:type="dxa"/>
            </w:tcMar>
            <w:vAlign w:val="center"/>
          </w:tcPr>
          <w:p w14:paraId="6D572FF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1.压力容器检验师3名；</w:t>
            </w:r>
          </w:p>
          <w:p w14:paraId="24BD19EE">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2.压力容器</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6名；</w:t>
            </w:r>
          </w:p>
          <w:p w14:paraId="49505349">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3.Ⅱ级RT、UT、MT、PT无损检测人员各2人项</w:t>
            </w:r>
          </w:p>
        </w:tc>
      </w:tr>
      <w:tr w14:paraId="08D93E7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6C332441">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w:t>
            </w:r>
          </w:p>
        </w:tc>
        <w:tc>
          <w:tcPr>
            <w:tcW w:w="856" w:type="pct"/>
            <w:tcBorders>
              <w:tl2br w:val="nil"/>
              <w:tr2bl w:val="nil"/>
            </w:tcBorders>
            <w:shd w:val="clear" w:color="auto" w:fill="auto"/>
            <w:tcMar>
              <w:top w:w="120" w:type="dxa"/>
              <w:left w:w="120" w:type="dxa"/>
              <w:bottom w:w="120" w:type="dxa"/>
              <w:right w:w="120" w:type="dxa"/>
            </w:tcMar>
            <w:vAlign w:val="center"/>
          </w:tcPr>
          <w:p w14:paraId="450CA519">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RD6</w:t>
            </w:r>
            <w:r>
              <w:rPr>
                <w:rFonts w:hint="default" w:ascii="Times New Roman" w:hAnsi="Times New Roman" w:eastAsia="国标宋体" w:cs="Times New Roman"/>
                <w:color w:val="auto"/>
                <w:kern w:val="0"/>
                <w:sz w:val="24"/>
                <w:szCs w:val="24"/>
                <w:vertAlign w:val="superscript"/>
                <w:lang w:val="en-US" w:eastAsia="zh-CN" w:bidi="ar"/>
              </w:rPr>
              <w:t>注</w:t>
            </w:r>
            <w:r>
              <w:rPr>
                <w:rStyle w:val="19"/>
                <w:rFonts w:hint="default" w:ascii="Times New Roman" w:hAnsi="Times New Roman" w:eastAsia="国标宋体" w:cs="Times New Roman"/>
                <w:color w:val="auto"/>
                <w:kern w:val="0"/>
                <w:sz w:val="24"/>
                <w:szCs w:val="24"/>
                <w:lang w:val="en-US" w:eastAsia="zh-CN" w:bidi="ar"/>
              </w:rPr>
              <w:footnoteReference w:id="2"/>
            </w:r>
          </w:p>
        </w:tc>
        <w:tc>
          <w:tcPr>
            <w:tcW w:w="3736" w:type="pct"/>
            <w:tcBorders>
              <w:tl2br w:val="nil"/>
              <w:tr2bl w:val="nil"/>
            </w:tcBorders>
            <w:shd w:val="clear" w:color="auto" w:fill="auto"/>
            <w:tcMar>
              <w:top w:w="120" w:type="dxa"/>
              <w:left w:w="120" w:type="dxa"/>
              <w:bottom w:w="120" w:type="dxa"/>
              <w:right w:w="120" w:type="dxa"/>
            </w:tcMar>
            <w:vAlign w:val="center"/>
          </w:tcPr>
          <w:p w14:paraId="283A7F93">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气瓶</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4名，且各品种气瓶</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分别不少于2名</w:t>
            </w:r>
          </w:p>
        </w:tc>
      </w:tr>
      <w:tr w14:paraId="61398A8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268304F8">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w:t>
            </w:r>
          </w:p>
        </w:tc>
        <w:tc>
          <w:tcPr>
            <w:tcW w:w="856" w:type="pct"/>
            <w:tcBorders>
              <w:tl2br w:val="nil"/>
              <w:tr2bl w:val="nil"/>
            </w:tcBorders>
            <w:shd w:val="clear" w:color="auto" w:fill="auto"/>
            <w:tcMar>
              <w:top w:w="120" w:type="dxa"/>
              <w:left w:w="120" w:type="dxa"/>
              <w:bottom w:w="120" w:type="dxa"/>
              <w:right w:w="120" w:type="dxa"/>
            </w:tcMar>
            <w:vAlign w:val="center"/>
          </w:tcPr>
          <w:p w14:paraId="41D434B2">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DD1</w:t>
            </w:r>
          </w:p>
        </w:tc>
        <w:tc>
          <w:tcPr>
            <w:tcW w:w="3736" w:type="pct"/>
            <w:tcBorders>
              <w:tl2br w:val="nil"/>
              <w:tr2bl w:val="nil"/>
            </w:tcBorders>
            <w:shd w:val="clear" w:color="auto" w:fill="auto"/>
            <w:tcMar>
              <w:top w:w="120" w:type="dxa"/>
              <w:left w:w="120" w:type="dxa"/>
              <w:bottom w:w="120" w:type="dxa"/>
              <w:right w:w="120" w:type="dxa"/>
            </w:tcMar>
            <w:vAlign w:val="center"/>
          </w:tcPr>
          <w:p w14:paraId="01BA72E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1.承压设备高级检验师2名（含内检测时，承压设备高级检验师3名）；</w:t>
            </w:r>
          </w:p>
          <w:p w14:paraId="20AF5E5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2.压力管道检验师20名（含内检测时30名），其中具有材料类专业教育背景的专业技术人员不少于6名；</w:t>
            </w:r>
          </w:p>
          <w:p w14:paraId="3B3B090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3.Ⅲ级RT、UT、MT、PT无损检测人员各2人项；</w:t>
            </w:r>
          </w:p>
          <w:p w14:paraId="0636855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4.Ⅱ级RT、UT、MT、PT无损检测人员各8人项；</w:t>
            </w:r>
          </w:p>
          <w:p w14:paraId="4DF2839E">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5.Ⅱ级MFL无损检测人员6人项（含内检测时要求）</w:t>
            </w:r>
          </w:p>
        </w:tc>
      </w:tr>
      <w:tr w14:paraId="20C7393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870B957">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w:t>
            </w:r>
          </w:p>
        </w:tc>
        <w:tc>
          <w:tcPr>
            <w:tcW w:w="856" w:type="pct"/>
            <w:tcBorders>
              <w:tl2br w:val="nil"/>
              <w:tr2bl w:val="nil"/>
            </w:tcBorders>
            <w:shd w:val="clear" w:color="auto" w:fill="auto"/>
            <w:tcMar>
              <w:top w:w="120" w:type="dxa"/>
              <w:left w:w="120" w:type="dxa"/>
              <w:bottom w:w="120" w:type="dxa"/>
              <w:right w:w="120" w:type="dxa"/>
            </w:tcMar>
            <w:vAlign w:val="center"/>
          </w:tcPr>
          <w:p w14:paraId="191D94E7">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DD2</w:t>
            </w:r>
          </w:p>
        </w:tc>
        <w:tc>
          <w:tcPr>
            <w:tcW w:w="3736" w:type="pct"/>
            <w:tcBorders>
              <w:tl2br w:val="nil"/>
              <w:tr2bl w:val="nil"/>
            </w:tcBorders>
            <w:shd w:val="clear" w:color="auto" w:fill="auto"/>
            <w:tcMar>
              <w:top w:w="120" w:type="dxa"/>
              <w:left w:w="120" w:type="dxa"/>
              <w:bottom w:w="120" w:type="dxa"/>
              <w:right w:w="120" w:type="dxa"/>
            </w:tcMar>
            <w:vAlign w:val="center"/>
          </w:tcPr>
          <w:p w14:paraId="4C50E64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1.压力管道检验师4名，其中具有材料类专业教育背景的专业技术人员不少于1名；</w:t>
            </w:r>
          </w:p>
          <w:p w14:paraId="7FBB08C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2.压力管道</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8名；</w:t>
            </w:r>
          </w:p>
          <w:p w14:paraId="79688B0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3.Ⅲ级RT或者UT、MT或者PT无损检测人员各1人项；</w:t>
            </w:r>
          </w:p>
          <w:p w14:paraId="4C575B54">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4.Ⅱ级RT、UT、MT、PT无损检测人员各2人项</w:t>
            </w:r>
          </w:p>
        </w:tc>
      </w:tr>
      <w:tr w14:paraId="7FB1CC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1926A1F1">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w:t>
            </w:r>
          </w:p>
        </w:tc>
        <w:tc>
          <w:tcPr>
            <w:tcW w:w="856" w:type="pct"/>
            <w:tcBorders>
              <w:tl2br w:val="nil"/>
              <w:tr2bl w:val="nil"/>
            </w:tcBorders>
            <w:shd w:val="clear" w:color="auto" w:fill="auto"/>
            <w:tcMar>
              <w:top w:w="120" w:type="dxa"/>
              <w:left w:w="120" w:type="dxa"/>
              <w:bottom w:w="120" w:type="dxa"/>
              <w:right w:w="120" w:type="dxa"/>
            </w:tcMar>
            <w:vAlign w:val="center"/>
          </w:tcPr>
          <w:p w14:paraId="027B8794">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DD3</w:t>
            </w:r>
          </w:p>
        </w:tc>
        <w:tc>
          <w:tcPr>
            <w:tcW w:w="3736" w:type="pct"/>
            <w:tcBorders>
              <w:tl2br w:val="nil"/>
              <w:tr2bl w:val="nil"/>
            </w:tcBorders>
            <w:shd w:val="clear" w:color="auto" w:fill="auto"/>
            <w:tcMar>
              <w:top w:w="120" w:type="dxa"/>
              <w:left w:w="120" w:type="dxa"/>
              <w:bottom w:w="120" w:type="dxa"/>
              <w:right w:w="120" w:type="dxa"/>
            </w:tcMar>
            <w:vAlign w:val="center"/>
          </w:tcPr>
          <w:p w14:paraId="191DB70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1.压力管道检验师6名，其中具有材料类专业教育背景的专业技术人员不少于1名；</w:t>
            </w:r>
          </w:p>
          <w:p w14:paraId="7A51FB4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2.压力管道</w:t>
            </w:r>
            <w:r>
              <w:rPr>
                <w:rFonts w:hint="eastAsia" w:ascii="Times New Roman" w:hAnsi="Times New Roman" w:eastAsia="国标宋体" w:cs="Times New Roman"/>
                <w:color w:val="auto"/>
                <w:kern w:val="0"/>
                <w:sz w:val="24"/>
                <w:szCs w:val="24"/>
                <w:lang w:val="en-US" w:eastAsia="zh-CN" w:bidi="ar"/>
              </w:rPr>
              <w:t>检验员</w:t>
            </w:r>
            <w:r>
              <w:rPr>
                <w:rFonts w:hint="default" w:ascii="Times New Roman" w:hAnsi="Times New Roman" w:eastAsia="国标宋体" w:cs="Times New Roman"/>
                <w:color w:val="auto"/>
                <w:kern w:val="0"/>
                <w:sz w:val="24"/>
                <w:szCs w:val="24"/>
                <w:lang w:val="en-US" w:eastAsia="zh-CN" w:bidi="ar"/>
              </w:rPr>
              <w:t>10名；</w:t>
            </w:r>
          </w:p>
          <w:p w14:paraId="3F27B95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3.Ⅲ级RT或者UT、MT或者PT无损检测人员各1人项；</w:t>
            </w:r>
          </w:p>
          <w:p w14:paraId="375DD4A8">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4.Ⅱ级RT、UT、MT、PT无损检测人员各2人项</w:t>
            </w:r>
          </w:p>
        </w:tc>
      </w:tr>
      <w:tr w14:paraId="69B8C2E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2D83366">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w:t>
            </w:r>
          </w:p>
        </w:tc>
        <w:tc>
          <w:tcPr>
            <w:tcW w:w="856" w:type="pct"/>
            <w:tcBorders>
              <w:tl2br w:val="nil"/>
              <w:tr2bl w:val="nil"/>
            </w:tcBorders>
            <w:shd w:val="clear" w:color="auto" w:fill="auto"/>
            <w:tcMar>
              <w:top w:w="120" w:type="dxa"/>
              <w:left w:w="120" w:type="dxa"/>
              <w:bottom w:w="120" w:type="dxa"/>
              <w:right w:w="120" w:type="dxa"/>
            </w:tcMar>
            <w:vAlign w:val="center"/>
          </w:tcPr>
          <w:p w14:paraId="1A150540">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QD2</w:t>
            </w:r>
          </w:p>
        </w:tc>
        <w:tc>
          <w:tcPr>
            <w:tcW w:w="3736" w:type="pct"/>
            <w:tcBorders>
              <w:tl2br w:val="nil"/>
              <w:tr2bl w:val="nil"/>
            </w:tcBorders>
            <w:shd w:val="clear" w:color="auto" w:fill="auto"/>
            <w:tcMar>
              <w:top w:w="120" w:type="dxa"/>
              <w:left w:w="120" w:type="dxa"/>
              <w:bottom w:w="120" w:type="dxa"/>
              <w:right w:w="120" w:type="dxa"/>
            </w:tcMar>
            <w:vAlign w:val="center"/>
          </w:tcPr>
          <w:p w14:paraId="6104DF9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1.起重机械检验师4名，其中具有机械类、电气类专业教育背景的专业技术人员不少于1名；</w:t>
            </w:r>
          </w:p>
          <w:p w14:paraId="39DB559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2.起重机械检验员8名；</w:t>
            </w:r>
          </w:p>
          <w:p w14:paraId="41DC55DA">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3.Ⅱ级UT、MT或者PT无损检测人员各2人项</w:t>
            </w:r>
          </w:p>
        </w:tc>
      </w:tr>
      <w:tr w14:paraId="4257702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6A70B9AE">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w:t>
            </w:r>
          </w:p>
        </w:tc>
        <w:tc>
          <w:tcPr>
            <w:tcW w:w="856" w:type="pct"/>
            <w:tcBorders>
              <w:tl2br w:val="nil"/>
              <w:tr2bl w:val="nil"/>
            </w:tcBorders>
            <w:shd w:val="clear" w:color="auto" w:fill="auto"/>
            <w:tcMar>
              <w:top w:w="120" w:type="dxa"/>
              <w:left w:w="120" w:type="dxa"/>
              <w:bottom w:w="120" w:type="dxa"/>
              <w:right w:w="120" w:type="dxa"/>
            </w:tcMar>
            <w:vAlign w:val="center"/>
          </w:tcPr>
          <w:p w14:paraId="6CD85EBC">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QD3</w:t>
            </w:r>
          </w:p>
        </w:tc>
        <w:tc>
          <w:tcPr>
            <w:tcW w:w="3736" w:type="pct"/>
            <w:tcBorders>
              <w:tl2br w:val="nil"/>
              <w:tr2bl w:val="nil"/>
            </w:tcBorders>
            <w:shd w:val="clear" w:color="auto" w:fill="auto"/>
            <w:tcMar>
              <w:top w:w="120" w:type="dxa"/>
              <w:left w:w="120" w:type="dxa"/>
              <w:bottom w:w="120" w:type="dxa"/>
              <w:right w:w="120" w:type="dxa"/>
            </w:tcMar>
            <w:vAlign w:val="center"/>
          </w:tcPr>
          <w:p w14:paraId="5B4A904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1.起重机械检验师2名；</w:t>
            </w:r>
          </w:p>
          <w:p w14:paraId="47AFC4C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2.起重机械检验员6名；</w:t>
            </w:r>
          </w:p>
          <w:p w14:paraId="0C2BED8F">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3.Ⅱ级UT、MT或者PT无损检测人员各2人项</w:t>
            </w:r>
          </w:p>
        </w:tc>
      </w:tr>
      <w:tr w14:paraId="47BEF22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3B39CB23">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w:t>
            </w:r>
          </w:p>
        </w:tc>
        <w:tc>
          <w:tcPr>
            <w:tcW w:w="856" w:type="pct"/>
            <w:tcBorders>
              <w:tl2br w:val="nil"/>
              <w:tr2bl w:val="nil"/>
            </w:tcBorders>
            <w:shd w:val="clear" w:color="auto" w:fill="auto"/>
            <w:tcMar>
              <w:top w:w="120" w:type="dxa"/>
              <w:left w:w="120" w:type="dxa"/>
              <w:bottom w:w="120" w:type="dxa"/>
              <w:right w:w="120" w:type="dxa"/>
            </w:tcMar>
            <w:vAlign w:val="center"/>
          </w:tcPr>
          <w:p w14:paraId="0C74895E">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ND1</w:t>
            </w:r>
          </w:p>
        </w:tc>
        <w:tc>
          <w:tcPr>
            <w:tcW w:w="3736" w:type="pct"/>
            <w:tcBorders>
              <w:tl2br w:val="nil"/>
              <w:tr2bl w:val="nil"/>
            </w:tcBorders>
            <w:shd w:val="clear" w:color="auto" w:fill="auto"/>
            <w:tcMar>
              <w:top w:w="120" w:type="dxa"/>
              <w:left w:w="120" w:type="dxa"/>
              <w:bottom w:w="120" w:type="dxa"/>
              <w:right w:w="120" w:type="dxa"/>
            </w:tcMar>
            <w:vAlign w:val="center"/>
          </w:tcPr>
          <w:p w14:paraId="4783C850">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1.场（厂）内专用机动车辆检验师1名；</w:t>
            </w:r>
          </w:p>
          <w:p w14:paraId="0738C04E">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2.场（厂）内专用机动车辆检验员6名</w:t>
            </w:r>
          </w:p>
        </w:tc>
      </w:tr>
    </w:tbl>
    <w:p w14:paraId="614B28EA">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20AAFD9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A2.2 </w:t>
      </w:r>
      <w:r>
        <w:rPr>
          <w:rFonts w:hint="default" w:ascii="Times New Roman" w:hAnsi="Times New Roman" w:eastAsia="国标宋体" w:cs="Times New Roman"/>
          <w:color w:val="auto"/>
          <w:spacing w:val="8"/>
          <w:sz w:val="28"/>
          <w:szCs w:val="28"/>
        </w:rPr>
        <w:t>核查关键岗位人员</w:t>
      </w:r>
      <w:r>
        <w:rPr>
          <w:rFonts w:hint="default" w:ascii="Times New Roman" w:hAnsi="Times New Roman" w:eastAsia="国标宋体" w:cs="Times New Roman"/>
          <w:color w:val="auto"/>
          <w:spacing w:val="8"/>
          <w:sz w:val="28"/>
          <w:szCs w:val="28"/>
          <w:lang w:eastAsia="zh-CN"/>
        </w:rPr>
        <w:t>：</w:t>
      </w:r>
    </w:p>
    <w:p w14:paraId="79D225BD">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1</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技术负责人，熟悉特种设备的有关法律、法规、规章、安全技术规范及相关标准和检验业务，有岗位需要的业务水平和组织能力，具有相关项目的检验师资格不少于8年</w:t>
      </w:r>
      <w:r>
        <w:rPr>
          <w:rFonts w:hint="default" w:ascii="Times New Roman" w:hAnsi="Times New Roman" w:eastAsia="国标宋体" w:cs="Times New Roman"/>
          <w:color w:val="auto"/>
          <w:spacing w:val="8"/>
          <w:sz w:val="28"/>
          <w:szCs w:val="28"/>
          <w:lang w:eastAsia="zh-CN"/>
        </w:rPr>
        <w:t>。</w:t>
      </w:r>
    </w:p>
    <w:p w14:paraId="473344B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质量负责人，熟悉质量管理工作，有岗位需要的业务水平和组织能力，具有相关项目的检验师资格不少于4年</w:t>
      </w:r>
      <w:r>
        <w:rPr>
          <w:rFonts w:hint="default" w:ascii="Times New Roman" w:hAnsi="Times New Roman" w:eastAsia="国标宋体" w:cs="Times New Roman"/>
          <w:color w:val="auto"/>
          <w:spacing w:val="8"/>
          <w:sz w:val="28"/>
          <w:szCs w:val="28"/>
          <w:lang w:eastAsia="zh-CN"/>
        </w:rPr>
        <w:t>。</w:t>
      </w:r>
    </w:p>
    <w:p w14:paraId="3562BAAF">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责任师，熟悉特种设备有关法律、法规、规章、安全技术规范及相关标准和检验业务，有岗位需要的业务水平和组织能力，具有相应项目的检验师资格不少于4年。</w:t>
      </w:r>
    </w:p>
    <w:p w14:paraId="00814A3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highlight w:val="none"/>
        </w:rPr>
      </w:pPr>
      <w:r>
        <w:rPr>
          <w:rFonts w:hint="eastAsia" w:eastAsia="国标宋体" w:cs="Times New Roman"/>
          <w:color w:val="auto"/>
          <w:spacing w:val="8"/>
          <w:sz w:val="28"/>
          <w:szCs w:val="28"/>
          <w:lang w:val="en-US" w:eastAsia="zh-CN"/>
        </w:rPr>
        <w:t>A2.3</w:t>
      </w:r>
      <w:r>
        <w:rPr>
          <w:rFonts w:hint="default" w:ascii="Times New Roman" w:hAnsi="Times New Roman" w:eastAsia="国标宋体" w:cs="Times New Roman"/>
          <w:color w:val="auto"/>
          <w:spacing w:val="8"/>
          <w:sz w:val="28"/>
          <w:szCs w:val="28"/>
          <w:lang w:eastAsia="zh-CN"/>
        </w:rPr>
        <w:t>在评审现场待核查的人员包括：申请单位负责人</w:t>
      </w:r>
      <w:r>
        <w:rPr>
          <w:rFonts w:hint="default" w:ascii="Times New Roman" w:hAnsi="Times New Roman" w:eastAsia="国标宋体" w:cs="Times New Roman"/>
          <w:color w:val="auto"/>
          <w:spacing w:val="8"/>
          <w:sz w:val="28"/>
          <w:szCs w:val="28"/>
        </w:rPr>
        <w:t>、技术负责人、质量负责人、各</w:t>
      </w:r>
      <w:r>
        <w:rPr>
          <w:rFonts w:hint="default" w:ascii="Times New Roman" w:hAnsi="Times New Roman" w:eastAsia="国标宋体" w:cs="Times New Roman"/>
          <w:color w:val="auto"/>
          <w:spacing w:val="8"/>
          <w:sz w:val="28"/>
          <w:szCs w:val="28"/>
          <w:lang w:val="en-US" w:eastAsia="zh-CN"/>
        </w:rPr>
        <w:t>检验项目</w:t>
      </w:r>
      <w:r>
        <w:rPr>
          <w:rFonts w:hint="default" w:ascii="Times New Roman" w:hAnsi="Times New Roman" w:eastAsia="国标宋体" w:cs="Times New Roman"/>
          <w:color w:val="auto"/>
          <w:spacing w:val="8"/>
          <w:sz w:val="28"/>
          <w:szCs w:val="28"/>
        </w:rPr>
        <w:t>责任师、</w:t>
      </w:r>
      <w:r>
        <w:rPr>
          <w:rFonts w:hint="default" w:ascii="Times New Roman" w:hAnsi="Times New Roman" w:eastAsia="国标宋体" w:cs="Times New Roman"/>
          <w:color w:val="auto"/>
          <w:spacing w:val="8"/>
          <w:sz w:val="28"/>
          <w:szCs w:val="28"/>
          <w:lang w:eastAsia="zh-CN"/>
        </w:rPr>
        <w:t>申请项目相关的特种设备检验检测持证</w:t>
      </w:r>
      <w:r>
        <w:rPr>
          <w:rFonts w:hint="default" w:ascii="Times New Roman" w:hAnsi="Times New Roman" w:eastAsia="国标宋体" w:cs="Times New Roman"/>
          <w:color w:val="auto"/>
          <w:spacing w:val="8"/>
          <w:sz w:val="28"/>
          <w:szCs w:val="28"/>
        </w:rPr>
        <w:t>人员</w:t>
      </w:r>
      <w:r>
        <w:rPr>
          <w:rFonts w:hint="default" w:ascii="Times New Roman" w:hAnsi="Times New Roman" w:eastAsia="国标宋体" w:cs="Times New Roman"/>
          <w:color w:val="auto"/>
          <w:spacing w:val="8"/>
          <w:sz w:val="28"/>
          <w:szCs w:val="28"/>
          <w:lang w:eastAsia="zh-CN"/>
        </w:rPr>
        <w:t>。</w:t>
      </w:r>
    </w:p>
    <w:p w14:paraId="3F94189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480AFA36">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56C31474">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8" w:name="_Toc415751987"/>
      <w:r>
        <w:rPr>
          <w:rFonts w:hint="default" w:ascii="Times New Roman" w:hAnsi="Times New Roman" w:eastAsia="国标宋体" w:cs="Times New Roman"/>
          <w:color w:val="auto"/>
          <w:sz w:val="28"/>
          <w:szCs w:val="28"/>
          <w:lang w:val="en-US" w:eastAsia="zh-CN"/>
        </w:rPr>
        <w:t>A3评审现场核查的设备</w:t>
      </w:r>
      <w:bookmarkEnd w:id="88"/>
    </w:p>
    <w:p w14:paraId="160F0378">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73E6E53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A3.1</w:t>
      </w:r>
      <w:r>
        <w:rPr>
          <w:rFonts w:hint="eastAsia" w:eastAsia="国标宋体" w:cs="Times New Roman"/>
          <w:color w:val="auto"/>
          <w:spacing w:val="8"/>
          <w:sz w:val="28"/>
          <w:szCs w:val="28"/>
          <w:lang w:val="en-US" w:eastAsia="zh-CN"/>
        </w:rPr>
        <w:t>申请</w:t>
      </w:r>
      <w:r>
        <w:rPr>
          <w:rFonts w:hint="default" w:ascii="Times New Roman" w:hAnsi="Times New Roman" w:eastAsia="国标宋体" w:cs="Times New Roman"/>
          <w:color w:val="auto"/>
          <w:spacing w:val="8"/>
          <w:sz w:val="28"/>
          <w:szCs w:val="28"/>
          <w:lang w:eastAsia="zh-CN"/>
        </w:rPr>
        <w:t>甲类检验机构</w:t>
      </w:r>
      <w:r>
        <w:rPr>
          <w:rFonts w:hint="default" w:ascii="Times New Roman" w:hAnsi="Times New Roman" w:eastAsia="国标宋体" w:cs="Times New Roman"/>
          <w:color w:val="auto"/>
          <w:spacing w:val="8"/>
          <w:sz w:val="28"/>
          <w:szCs w:val="28"/>
          <w:lang w:val="en-US" w:eastAsia="zh-CN"/>
        </w:rPr>
        <w:t>B1级</w:t>
      </w:r>
      <w:r>
        <w:rPr>
          <w:rFonts w:hint="default" w:ascii="Times New Roman" w:hAnsi="Times New Roman" w:eastAsia="国标宋体" w:cs="Times New Roman"/>
          <w:color w:val="auto"/>
          <w:spacing w:val="8"/>
          <w:sz w:val="28"/>
          <w:szCs w:val="28"/>
          <w:lang w:eastAsia="zh-CN"/>
        </w:rPr>
        <w:t>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附录</w:t>
      </w:r>
      <w:r>
        <w:rPr>
          <w:rFonts w:hint="default" w:ascii="Times New Roman" w:hAnsi="Times New Roman" w:eastAsia="国标宋体" w:cs="Times New Roman"/>
          <w:color w:val="auto"/>
          <w:spacing w:val="8"/>
          <w:sz w:val="28"/>
          <w:szCs w:val="28"/>
          <w:lang w:val="en-US" w:eastAsia="zh-CN"/>
        </w:rPr>
        <w:t>db对应项目的要求核查配置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检验</w:t>
      </w:r>
      <w:r>
        <w:rPr>
          <w:rFonts w:hint="default" w:ascii="Times New Roman" w:hAnsi="Times New Roman" w:eastAsia="国标宋体" w:cs="Times New Roman"/>
          <w:color w:val="auto"/>
          <w:spacing w:val="8"/>
          <w:sz w:val="28"/>
          <w:szCs w:val="28"/>
          <w:lang w:eastAsia="zh-CN"/>
        </w:rPr>
        <w:t>设备。</w:t>
      </w:r>
    </w:p>
    <w:tbl>
      <w:tblPr>
        <w:tblStyle w:val="13"/>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813"/>
        <w:gridCol w:w="1710"/>
        <w:gridCol w:w="7463"/>
      </w:tblGrid>
      <w:tr w14:paraId="1E20179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407" w:type="pct"/>
            <w:tcBorders>
              <w:tl2br w:val="nil"/>
              <w:tr2bl w:val="nil"/>
            </w:tcBorders>
            <w:shd w:val="clear" w:color="auto" w:fill="auto"/>
            <w:tcMar>
              <w:top w:w="120" w:type="dxa"/>
              <w:left w:w="120" w:type="dxa"/>
              <w:bottom w:w="120" w:type="dxa"/>
              <w:right w:w="120" w:type="dxa"/>
            </w:tcMar>
            <w:vAlign w:val="center"/>
          </w:tcPr>
          <w:p w14:paraId="6D684F7E">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序号</w:t>
            </w:r>
          </w:p>
        </w:tc>
        <w:tc>
          <w:tcPr>
            <w:tcW w:w="856" w:type="pct"/>
            <w:tcBorders>
              <w:tl2br w:val="nil"/>
              <w:tr2bl w:val="nil"/>
            </w:tcBorders>
            <w:shd w:val="clear" w:color="auto" w:fill="auto"/>
            <w:tcMar>
              <w:top w:w="120" w:type="dxa"/>
              <w:left w:w="120" w:type="dxa"/>
              <w:bottom w:w="120" w:type="dxa"/>
              <w:right w:w="120" w:type="dxa"/>
            </w:tcMar>
            <w:vAlign w:val="center"/>
          </w:tcPr>
          <w:p w14:paraId="5A62350D">
            <w:pPr>
              <w:keepNext w:val="0"/>
              <w:keepLines w:val="0"/>
              <w:widowControl/>
              <w:suppressLineNumbers w:val="0"/>
              <w:jc w:val="center"/>
              <w:rPr>
                <w:rFonts w:hint="default" w:ascii="Times New Roman" w:hAnsi="Times New Roman" w:eastAsia="国标宋体" w:cs="Times New Roman"/>
                <w:b/>
                <w:bCs/>
                <w:color w:val="auto"/>
              </w:rPr>
            </w:pPr>
            <w:r>
              <w:rPr>
                <w:rFonts w:hint="default" w:ascii="Times New Roman" w:hAnsi="Times New Roman" w:eastAsia="国标宋体" w:cs="Times New Roman"/>
                <w:b/>
                <w:bCs/>
                <w:color w:val="auto"/>
                <w:kern w:val="0"/>
                <w:sz w:val="24"/>
                <w:szCs w:val="24"/>
                <w:lang w:val="en-US" w:eastAsia="zh-CN" w:bidi="ar"/>
              </w:rPr>
              <w:t>核准项目代码</w:t>
            </w:r>
          </w:p>
        </w:tc>
        <w:tc>
          <w:tcPr>
            <w:tcW w:w="3736" w:type="pct"/>
            <w:tcBorders>
              <w:tl2br w:val="nil"/>
              <w:tr2bl w:val="nil"/>
            </w:tcBorders>
            <w:shd w:val="clear" w:color="auto" w:fill="auto"/>
            <w:tcMar>
              <w:top w:w="120" w:type="dxa"/>
              <w:left w:w="120" w:type="dxa"/>
              <w:bottom w:w="120" w:type="dxa"/>
              <w:right w:w="120" w:type="dxa"/>
            </w:tcMar>
            <w:vAlign w:val="center"/>
          </w:tcPr>
          <w:p w14:paraId="6BB83E8D">
            <w:pPr>
              <w:keepNext w:val="0"/>
              <w:keepLines w:val="0"/>
              <w:widowControl/>
              <w:suppressLineNumbers w:val="0"/>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检验设备配置</w:t>
            </w:r>
            <w:r>
              <w:rPr>
                <w:rFonts w:hint="default" w:ascii="Times New Roman" w:hAnsi="Times New Roman" w:eastAsia="国标宋体" w:cs="Times New Roman"/>
                <w:color w:val="auto"/>
                <w:szCs w:val="24"/>
                <w:vertAlign w:val="superscript"/>
                <w:lang w:eastAsia="zh-CN" w:bidi="ar"/>
              </w:rPr>
              <w:t>注</w:t>
            </w:r>
            <w:r>
              <w:rPr>
                <w:rStyle w:val="19"/>
                <w:rFonts w:hint="default" w:ascii="Times New Roman" w:hAnsi="Times New Roman" w:eastAsia="国标宋体" w:cs="Times New Roman"/>
                <w:color w:val="auto"/>
                <w:szCs w:val="24"/>
                <w:lang w:bidi="ar"/>
              </w:rPr>
              <w:footnoteReference w:id="3"/>
            </w:r>
          </w:p>
        </w:tc>
      </w:tr>
      <w:tr w14:paraId="0E781EE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19B02ED6">
            <w:pPr>
              <w:keepNext w:val="0"/>
              <w:keepLines w:val="0"/>
              <w:widowControl/>
              <w:suppressLineNumbers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1</w:t>
            </w:r>
          </w:p>
        </w:tc>
        <w:tc>
          <w:tcPr>
            <w:tcW w:w="856" w:type="pct"/>
            <w:tcBorders>
              <w:tl2br w:val="nil"/>
              <w:tr2bl w:val="nil"/>
            </w:tcBorders>
            <w:shd w:val="clear" w:color="auto" w:fill="auto"/>
            <w:tcMar>
              <w:top w:w="120" w:type="dxa"/>
              <w:left w:w="120" w:type="dxa"/>
              <w:bottom w:w="120" w:type="dxa"/>
              <w:right w:w="120" w:type="dxa"/>
            </w:tcMar>
            <w:vAlign w:val="center"/>
          </w:tcPr>
          <w:p w14:paraId="077FFA9B">
            <w:pPr>
              <w:keepNext w:val="0"/>
              <w:keepLines w:val="0"/>
              <w:widowControl/>
              <w:suppressLineNumbers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GD2</w:t>
            </w:r>
          </w:p>
        </w:tc>
        <w:tc>
          <w:tcPr>
            <w:tcW w:w="7463" w:type="dxa"/>
            <w:tcBorders>
              <w:tl2br w:val="nil"/>
              <w:tr2bl w:val="nil"/>
            </w:tcBorders>
            <w:shd w:val="clear" w:color="auto" w:fill="auto"/>
            <w:tcMar>
              <w:top w:w="120" w:type="dxa"/>
              <w:left w:w="120" w:type="dxa"/>
              <w:bottom w:w="120" w:type="dxa"/>
              <w:right w:w="120" w:type="dxa"/>
            </w:tcMar>
            <w:vAlign w:val="center"/>
          </w:tcPr>
          <w:p w14:paraId="2985858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0C135190">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1.高温测厚仪2台；</w:t>
            </w:r>
          </w:p>
          <w:p w14:paraId="34707E1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2.便携式定量光谱仪1台；</w:t>
            </w:r>
          </w:p>
          <w:p w14:paraId="71556EA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3.大于或者等于5m的视频内窥镜1台；</w:t>
            </w:r>
          </w:p>
          <w:p w14:paraId="6E59B87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4.可燃气体分析设备2台；</w:t>
            </w:r>
          </w:p>
          <w:p w14:paraId="307DB9F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5.测氧仪2台；</w:t>
            </w:r>
          </w:p>
          <w:p w14:paraId="4FAA669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6.测温仪2台；</w:t>
            </w:r>
          </w:p>
          <w:p w14:paraId="3A89561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7.分析天平（感量为0.01mg）1台；</w:t>
            </w:r>
          </w:p>
          <w:p w14:paraId="7C359EC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8.便携式酸度计（精度0.01pH）2台；</w:t>
            </w:r>
          </w:p>
          <w:p w14:paraId="03A3899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9.便携式电导率仪（带密封流动池的金属电极，精度0.02μs/cm）2台；</w:t>
            </w:r>
          </w:p>
          <w:p w14:paraId="7F4E964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10.便携式溶解氧测定仪（μg/L级）2台；</w:t>
            </w:r>
          </w:p>
          <w:p w14:paraId="2D5AEB3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11.原子吸收光谱仪或者离子色谱仪1台；</w:t>
            </w:r>
          </w:p>
          <w:p w14:paraId="561DF24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12.紫外、可见分光光度计1台；</w:t>
            </w:r>
          </w:p>
          <w:p w14:paraId="66046F5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13.钠离子（pNa）计（检出限2.3μg/L）、硅酸根测定仪各1台；</w:t>
            </w:r>
          </w:p>
          <w:p w14:paraId="0ED8D23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14.浊度计1台；</w:t>
            </w:r>
          </w:p>
          <w:p w14:paraId="111E63A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15.含油量分析仪1台；</w:t>
            </w:r>
          </w:p>
          <w:p w14:paraId="6147062E">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16.电热干燥箱1台；</w:t>
            </w:r>
          </w:p>
          <w:p w14:paraId="0627A75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17.箱式电子炉（马福炉）1台；</w:t>
            </w:r>
          </w:p>
          <w:p w14:paraId="39B0CCAE">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18.药品冷藏设备1台；</w:t>
            </w:r>
          </w:p>
          <w:p w14:paraId="13C5C990">
            <w:pPr>
              <w:keepNext w:val="0"/>
              <w:keepLines w:val="0"/>
              <w:widowControl/>
              <w:suppressLineNumbers w:val="0"/>
              <w:jc w:val="left"/>
              <w:rPr>
                <w:rFonts w:hint="default" w:ascii="Times New Roman" w:hAnsi="Times New Roman" w:eastAsia="国标宋体" w:cs="Times New Roman"/>
                <w:color w:val="auto"/>
              </w:rPr>
            </w:pPr>
            <w:r>
              <w:rPr>
                <w:rFonts w:hint="default" w:ascii="Times New Roman" w:hAnsi="Times New Roman" w:eastAsia="国标宋体" w:cs="Times New Roman"/>
                <w:color w:val="auto"/>
                <w:kern w:val="0"/>
                <w:sz w:val="24"/>
                <w:szCs w:val="24"/>
                <w:lang w:val="en-US" w:eastAsia="zh-CN" w:bidi="ar"/>
              </w:rPr>
              <w:t>19.从事有机热载体检测的，配置残炭测定仪、运动粘度测定仪、闭口闪点测定仪、自动电位滴定仪、卡氏水分测定仪、密度计（精度0.001g/cm³）、蒸馏仪各1台</w:t>
            </w:r>
          </w:p>
        </w:tc>
      </w:tr>
      <w:tr w14:paraId="234CAA3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44922628">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w:t>
            </w:r>
          </w:p>
        </w:tc>
        <w:tc>
          <w:tcPr>
            <w:tcW w:w="856" w:type="pct"/>
            <w:tcBorders>
              <w:tl2br w:val="nil"/>
              <w:tr2bl w:val="nil"/>
            </w:tcBorders>
            <w:shd w:val="clear" w:color="auto" w:fill="auto"/>
            <w:tcMar>
              <w:top w:w="120" w:type="dxa"/>
              <w:left w:w="120" w:type="dxa"/>
              <w:bottom w:w="120" w:type="dxa"/>
              <w:right w:w="120" w:type="dxa"/>
            </w:tcMar>
            <w:vAlign w:val="center"/>
          </w:tcPr>
          <w:p w14:paraId="0B92C3B5">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GD3</w:t>
            </w:r>
          </w:p>
        </w:tc>
        <w:tc>
          <w:tcPr>
            <w:tcW w:w="7463" w:type="dxa"/>
            <w:tcBorders>
              <w:tl2br w:val="nil"/>
              <w:tr2bl w:val="nil"/>
            </w:tcBorders>
            <w:shd w:val="clear" w:color="auto" w:fill="auto"/>
            <w:tcMar>
              <w:top w:w="120" w:type="dxa"/>
              <w:left w:w="120" w:type="dxa"/>
              <w:bottom w:w="120" w:type="dxa"/>
              <w:right w:w="120" w:type="dxa"/>
            </w:tcMar>
            <w:vAlign w:val="center"/>
          </w:tcPr>
          <w:p w14:paraId="7C8AE57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0A4B2BA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1.高温测厚仪1台；</w:t>
            </w:r>
          </w:p>
          <w:p w14:paraId="4ABB63A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2.可燃气体分析设备1台；</w:t>
            </w:r>
          </w:p>
          <w:p w14:paraId="144A2F8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3.测氧仪1台；</w:t>
            </w:r>
          </w:p>
          <w:p w14:paraId="2F8E40B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4.测温仪1台；</w:t>
            </w:r>
          </w:p>
          <w:p w14:paraId="1E6B11D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5.分析天平（感量为0.1mg）1台；</w:t>
            </w:r>
          </w:p>
          <w:p w14:paraId="1D5D478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6.便携式酸度计（精度0.01pH）1台；</w:t>
            </w:r>
          </w:p>
          <w:p w14:paraId="53DC1670">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7.便携式电导率仪（带密封流动池的金属电极，精度0.02μs/cm）1台；</w:t>
            </w:r>
          </w:p>
          <w:p w14:paraId="0A287E8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8.便携式溶解氧测定仪（</w:t>
            </w:r>
            <w:r>
              <w:rPr>
                <w:rFonts w:hint="eastAsia" w:eastAsia="国标宋体" w:cs="Times New Roman"/>
                <w:color w:val="auto"/>
                <w:kern w:val="0"/>
                <w:sz w:val="24"/>
                <w:szCs w:val="24"/>
                <w:lang w:val="en-US" w:eastAsia="zh-CN" w:bidi="ar"/>
              </w:rPr>
              <w:t>μg/L级</w:t>
            </w:r>
            <w:r>
              <w:rPr>
                <w:rFonts w:hint="default" w:ascii="Times New Roman" w:hAnsi="Times New Roman" w:eastAsia="国标宋体" w:cs="Times New Roman"/>
                <w:color w:val="auto"/>
                <w:kern w:val="0"/>
                <w:sz w:val="24"/>
                <w:szCs w:val="24"/>
                <w:lang w:val="en-US" w:eastAsia="zh-CN" w:bidi="ar"/>
              </w:rPr>
              <w:t>）1台；</w:t>
            </w:r>
          </w:p>
          <w:p w14:paraId="7B47989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9.紫外、可见分光光度计1台；</w:t>
            </w:r>
          </w:p>
          <w:p w14:paraId="1B7F14A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10.浊度计1台；</w:t>
            </w:r>
          </w:p>
          <w:p w14:paraId="4BF8981A">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11.电热干燥箱1台；</w:t>
            </w:r>
          </w:p>
          <w:p w14:paraId="0BFD475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12.箱式电子炉（马福炉）1台；</w:t>
            </w:r>
          </w:p>
          <w:p w14:paraId="120255F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13.药品冷藏设备1台；</w:t>
            </w:r>
          </w:p>
          <w:p w14:paraId="1018171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14.从事有机热载体检测的，配置残炭测定仪、运动粘度测定仪、闭口闪点测定仪、自动电位滴定仪、卡氏水分测定仪、密度计（精度0.001g/cm³）、蒸馏仪各1台</w:t>
            </w:r>
          </w:p>
        </w:tc>
      </w:tr>
      <w:tr w14:paraId="0B4EEE8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3054B67E">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w:t>
            </w:r>
          </w:p>
        </w:tc>
        <w:tc>
          <w:tcPr>
            <w:tcW w:w="856" w:type="pct"/>
            <w:tcBorders>
              <w:tl2br w:val="nil"/>
              <w:tr2bl w:val="nil"/>
            </w:tcBorders>
            <w:shd w:val="clear" w:color="auto" w:fill="auto"/>
            <w:tcMar>
              <w:top w:w="120" w:type="dxa"/>
              <w:left w:w="120" w:type="dxa"/>
              <w:bottom w:w="120" w:type="dxa"/>
              <w:right w:w="120" w:type="dxa"/>
            </w:tcMar>
            <w:vAlign w:val="center"/>
          </w:tcPr>
          <w:p w14:paraId="6F46EB5B">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RD2</w:t>
            </w:r>
          </w:p>
        </w:tc>
        <w:tc>
          <w:tcPr>
            <w:tcW w:w="7463" w:type="dxa"/>
            <w:tcBorders>
              <w:tl2br w:val="nil"/>
              <w:tr2bl w:val="nil"/>
            </w:tcBorders>
            <w:shd w:val="clear" w:color="auto" w:fill="auto"/>
            <w:tcMar>
              <w:top w:w="120" w:type="dxa"/>
              <w:left w:w="120" w:type="dxa"/>
              <w:bottom w:w="120" w:type="dxa"/>
              <w:right w:w="120" w:type="dxa"/>
            </w:tcMar>
            <w:vAlign w:val="center"/>
          </w:tcPr>
          <w:p w14:paraId="3EB5B93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632554AE">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1.高温测厚仪3台；</w:t>
            </w:r>
          </w:p>
          <w:p w14:paraId="6C0B3AB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2.大于或者等于8m视频内窥镜1台；</w:t>
            </w:r>
          </w:p>
          <w:p w14:paraId="0C11A8B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3.TOFD检测设备1台；</w:t>
            </w:r>
          </w:p>
          <w:p w14:paraId="4773359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4.测温仪3台；</w:t>
            </w:r>
          </w:p>
          <w:p w14:paraId="1C16427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5.可燃气体分析设备3台；</w:t>
            </w:r>
          </w:p>
          <w:p w14:paraId="3D0DBD0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6.测氧仪3台；</w:t>
            </w:r>
          </w:p>
          <w:p w14:paraId="7065BACA">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7.经纬仪1台</w:t>
            </w:r>
          </w:p>
        </w:tc>
      </w:tr>
      <w:tr w14:paraId="6EF795F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15A2CC1B">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w:t>
            </w:r>
          </w:p>
        </w:tc>
        <w:tc>
          <w:tcPr>
            <w:tcW w:w="856" w:type="pct"/>
            <w:tcBorders>
              <w:tl2br w:val="nil"/>
              <w:tr2bl w:val="nil"/>
            </w:tcBorders>
            <w:shd w:val="clear" w:color="auto" w:fill="auto"/>
            <w:tcMar>
              <w:top w:w="120" w:type="dxa"/>
              <w:left w:w="120" w:type="dxa"/>
              <w:bottom w:w="120" w:type="dxa"/>
              <w:right w:w="120" w:type="dxa"/>
            </w:tcMar>
            <w:vAlign w:val="center"/>
          </w:tcPr>
          <w:p w14:paraId="2FBCA870">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RD3</w:t>
            </w:r>
          </w:p>
        </w:tc>
        <w:tc>
          <w:tcPr>
            <w:tcW w:w="7463" w:type="dxa"/>
            <w:tcBorders>
              <w:tl2br w:val="nil"/>
              <w:tr2bl w:val="nil"/>
            </w:tcBorders>
            <w:shd w:val="clear" w:color="auto" w:fill="auto"/>
            <w:tcMar>
              <w:top w:w="120" w:type="dxa"/>
              <w:left w:w="120" w:type="dxa"/>
              <w:bottom w:w="120" w:type="dxa"/>
              <w:right w:w="120" w:type="dxa"/>
            </w:tcMar>
            <w:vAlign w:val="center"/>
          </w:tcPr>
          <w:p w14:paraId="2C3A3DF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7F405EA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1.高温测厚仪2台；</w:t>
            </w:r>
          </w:p>
          <w:p w14:paraId="0E79E8D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2.大于或者等于5m视频内窥镜1台；</w:t>
            </w:r>
          </w:p>
          <w:p w14:paraId="3073DDF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3.测温仪2台；</w:t>
            </w:r>
          </w:p>
          <w:p w14:paraId="459DA290">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4.可燃气体分析设备2台；</w:t>
            </w:r>
          </w:p>
          <w:p w14:paraId="1F75CE3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5.测氧仪2台；</w:t>
            </w:r>
          </w:p>
          <w:p w14:paraId="7F3FA308">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6.经纬仪1台</w:t>
            </w:r>
          </w:p>
        </w:tc>
      </w:tr>
      <w:tr w14:paraId="6527AEE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94606CB">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w:t>
            </w:r>
          </w:p>
        </w:tc>
        <w:tc>
          <w:tcPr>
            <w:tcW w:w="856" w:type="pct"/>
            <w:tcBorders>
              <w:tl2br w:val="nil"/>
              <w:tr2bl w:val="nil"/>
            </w:tcBorders>
            <w:shd w:val="clear" w:color="auto" w:fill="auto"/>
            <w:tcMar>
              <w:top w:w="120" w:type="dxa"/>
              <w:left w:w="120" w:type="dxa"/>
              <w:bottom w:w="120" w:type="dxa"/>
              <w:right w:w="120" w:type="dxa"/>
            </w:tcMar>
            <w:vAlign w:val="center"/>
          </w:tcPr>
          <w:p w14:paraId="7BD1882C">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RD6</w:t>
            </w:r>
          </w:p>
        </w:tc>
        <w:tc>
          <w:tcPr>
            <w:tcW w:w="3736" w:type="pct"/>
            <w:tcBorders>
              <w:tl2br w:val="nil"/>
              <w:tr2bl w:val="nil"/>
            </w:tcBorders>
            <w:shd w:val="clear" w:color="auto" w:fill="auto"/>
            <w:tcMar>
              <w:top w:w="120" w:type="dxa"/>
              <w:left w:w="120" w:type="dxa"/>
              <w:bottom w:w="120" w:type="dxa"/>
              <w:right w:w="120" w:type="dxa"/>
            </w:tcMar>
            <w:vAlign w:val="center"/>
          </w:tcPr>
          <w:p w14:paraId="4D4B49F9">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lang w:eastAsia="zh-CN"/>
              </w:rPr>
              <w:t>按照下表</w:t>
            </w:r>
            <w:r>
              <w:rPr>
                <w:rFonts w:hint="default" w:ascii="Times New Roman" w:hAnsi="Times New Roman" w:eastAsia="国标宋体" w:cs="Times New Roman"/>
                <w:color w:val="auto"/>
              </w:rPr>
              <w:t>RD6项目检验设备配备专项要求</w:t>
            </w:r>
            <w:r>
              <w:rPr>
                <w:rFonts w:hint="default" w:ascii="Times New Roman" w:hAnsi="Times New Roman" w:eastAsia="国标宋体" w:cs="Times New Roman"/>
                <w:color w:val="auto"/>
                <w:lang w:eastAsia="zh-CN"/>
              </w:rPr>
              <w:t>准备</w:t>
            </w:r>
            <w:r>
              <w:rPr>
                <w:rFonts w:hint="default" w:ascii="Times New Roman" w:hAnsi="Times New Roman" w:eastAsia="国标宋体" w:cs="Times New Roman"/>
                <w:color w:val="auto"/>
                <w:sz w:val="24"/>
                <w:szCs w:val="20"/>
                <w:lang w:val="en-US" w:eastAsia="zh-CN"/>
              </w:rPr>
              <w:t>。</w:t>
            </w:r>
          </w:p>
        </w:tc>
      </w:tr>
      <w:tr w14:paraId="46F3711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9E8B160">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w:t>
            </w:r>
          </w:p>
        </w:tc>
        <w:tc>
          <w:tcPr>
            <w:tcW w:w="856" w:type="pct"/>
            <w:tcBorders>
              <w:tl2br w:val="nil"/>
              <w:tr2bl w:val="nil"/>
            </w:tcBorders>
            <w:shd w:val="clear" w:color="auto" w:fill="auto"/>
            <w:tcMar>
              <w:top w:w="120" w:type="dxa"/>
              <w:left w:w="120" w:type="dxa"/>
              <w:bottom w:w="120" w:type="dxa"/>
              <w:right w:w="120" w:type="dxa"/>
            </w:tcMar>
            <w:vAlign w:val="center"/>
          </w:tcPr>
          <w:p w14:paraId="5C343E3C">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DD1</w:t>
            </w:r>
          </w:p>
        </w:tc>
        <w:tc>
          <w:tcPr>
            <w:tcW w:w="7463" w:type="dxa"/>
            <w:tcBorders>
              <w:tl2br w:val="nil"/>
              <w:tr2bl w:val="nil"/>
            </w:tcBorders>
            <w:shd w:val="clear" w:color="auto" w:fill="auto"/>
            <w:tcMar>
              <w:top w:w="120" w:type="dxa"/>
              <w:left w:w="120" w:type="dxa"/>
              <w:bottom w:w="120" w:type="dxa"/>
              <w:right w:w="120" w:type="dxa"/>
            </w:tcMar>
            <w:vAlign w:val="center"/>
          </w:tcPr>
          <w:p w14:paraId="32DBB87A">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45539F8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1.全站仪2台；</w:t>
            </w:r>
          </w:p>
          <w:p w14:paraId="7367CDD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2.可燃气体分析设备4台；</w:t>
            </w:r>
          </w:p>
          <w:p w14:paraId="3F81CB2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3.接地电阻测试仪4台；</w:t>
            </w:r>
          </w:p>
          <w:p w14:paraId="6D4F359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4.静电阻测量仪4台；</w:t>
            </w:r>
          </w:p>
          <w:p w14:paraId="2227675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5.埋地管道泄漏检测仪1台；</w:t>
            </w:r>
          </w:p>
          <w:p w14:paraId="74174FD8">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6.埋地管道防腐层探测检漏仪1台；</w:t>
            </w:r>
          </w:p>
          <w:p w14:paraId="393E436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7.埋地管道探测定位仪1台；</w:t>
            </w:r>
          </w:p>
          <w:p w14:paraId="5E91BB8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8.防腐层绝缘电阻测量仪4台；</w:t>
            </w:r>
          </w:p>
          <w:p w14:paraId="748F374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9.电火花检测仪2台；</w:t>
            </w:r>
          </w:p>
          <w:p w14:paraId="3ED792C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10.涂层测厚仪4台；</w:t>
            </w:r>
          </w:p>
          <w:p w14:paraId="082B0F56">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11.杂散电流检测仪2台；</w:t>
            </w:r>
          </w:p>
          <w:p w14:paraId="20D1D33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12.土壤电阻率测试仪2台；</w:t>
            </w:r>
          </w:p>
          <w:p w14:paraId="03C49CA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13.密间隔管地电位检测仪1台；</w:t>
            </w:r>
          </w:p>
          <w:p w14:paraId="4AC8EE8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14.直流电压梯度检测系统1套；</w:t>
            </w:r>
          </w:p>
          <w:p w14:paraId="555F011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15.硫酸铜参比电极2台；</w:t>
            </w:r>
          </w:p>
          <w:p w14:paraId="6C91D73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16.手持型GPS定位仪2台；</w:t>
            </w:r>
          </w:p>
          <w:p w14:paraId="44DF029A">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17.便携式测温仪2台；</w:t>
            </w:r>
          </w:p>
          <w:p w14:paraId="4150807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18.埋地管线外防腐层状况综合检测评估系统（软件）1套；</w:t>
            </w:r>
          </w:p>
          <w:p w14:paraId="3D99E7E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含内检测额外配置：</w:t>
            </w:r>
          </w:p>
          <w:p w14:paraId="4CAAE72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19.每个限定范围智能腐蚀内检测器1台+配套数据分析软件；</w:t>
            </w:r>
          </w:p>
          <w:p w14:paraId="14E2025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20.每个限定范围智能变形检测器1台；</w:t>
            </w:r>
          </w:p>
          <w:p w14:paraId="229D0B7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21.地面标记模块100个；</w:t>
            </w:r>
          </w:p>
          <w:p w14:paraId="7C7C951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22.管体腐蚀成像检测仪2台；</w:t>
            </w:r>
          </w:p>
          <w:p w14:paraId="01F20B57">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23.外壁漏磁检测仪2台</w:t>
            </w:r>
          </w:p>
        </w:tc>
      </w:tr>
      <w:tr w14:paraId="530D903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3CB2B19D">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w:t>
            </w:r>
          </w:p>
        </w:tc>
        <w:tc>
          <w:tcPr>
            <w:tcW w:w="856" w:type="pct"/>
            <w:tcBorders>
              <w:tl2br w:val="nil"/>
              <w:tr2bl w:val="nil"/>
            </w:tcBorders>
            <w:shd w:val="clear" w:color="auto" w:fill="auto"/>
            <w:tcMar>
              <w:top w:w="120" w:type="dxa"/>
              <w:left w:w="120" w:type="dxa"/>
              <w:bottom w:w="120" w:type="dxa"/>
              <w:right w:w="120" w:type="dxa"/>
            </w:tcMar>
            <w:vAlign w:val="center"/>
          </w:tcPr>
          <w:p w14:paraId="0131E02A">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DD2</w:t>
            </w:r>
          </w:p>
        </w:tc>
        <w:tc>
          <w:tcPr>
            <w:tcW w:w="7463" w:type="dxa"/>
            <w:tcBorders>
              <w:tl2br w:val="nil"/>
              <w:tr2bl w:val="nil"/>
            </w:tcBorders>
            <w:shd w:val="clear" w:color="auto" w:fill="auto"/>
            <w:tcMar>
              <w:top w:w="120" w:type="dxa"/>
              <w:left w:w="120" w:type="dxa"/>
              <w:bottom w:w="120" w:type="dxa"/>
              <w:right w:w="120" w:type="dxa"/>
            </w:tcMar>
            <w:vAlign w:val="center"/>
          </w:tcPr>
          <w:p w14:paraId="3943A18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1137B32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1.可燃气体分析设备2台；</w:t>
            </w:r>
          </w:p>
          <w:p w14:paraId="53B16EF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2.接地电阻测试仪2台；</w:t>
            </w:r>
          </w:p>
          <w:p w14:paraId="54EAE92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3.静电阻测量仪2台；</w:t>
            </w:r>
          </w:p>
          <w:p w14:paraId="05B954C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4.埋地管道泄漏检测仪1台；</w:t>
            </w:r>
          </w:p>
          <w:p w14:paraId="6CA30012">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5.地下管道防腐层探测检漏仪1台；</w:t>
            </w:r>
          </w:p>
          <w:p w14:paraId="08E5E044">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6.地下管线探测定位仪1台；</w:t>
            </w:r>
          </w:p>
          <w:p w14:paraId="6E6F381B">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7.防腐层绝缘电阻测量仪2台；</w:t>
            </w:r>
          </w:p>
          <w:p w14:paraId="35C1E04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8.电火花检测仪1台；</w:t>
            </w:r>
          </w:p>
          <w:p w14:paraId="34BBB663">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9.涂层测厚仪2台；</w:t>
            </w:r>
          </w:p>
          <w:p w14:paraId="1FC6FE1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10.杂散电流检测仪2台；</w:t>
            </w:r>
          </w:p>
          <w:p w14:paraId="2F05CACF">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11.土壤电阻率测试仪2台；</w:t>
            </w:r>
          </w:p>
          <w:p w14:paraId="123FC4B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12.密间隔管地电位检测仪1台；</w:t>
            </w:r>
          </w:p>
          <w:p w14:paraId="2E29AB61">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13.直流电压梯度检测系统1套；</w:t>
            </w:r>
          </w:p>
          <w:p w14:paraId="1D4A2903">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14.硫酸铜参比电极1台</w:t>
            </w:r>
          </w:p>
        </w:tc>
      </w:tr>
      <w:tr w14:paraId="0A3DFB0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1B06C620">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8</w:t>
            </w:r>
          </w:p>
        </w:tc>
        <w:tc>
          <w:tcPr>
            <w:tcW w:w="856" w:type="pct"/>
            <w:tcBorders>
              <w:tl2br w:val="nil"/>
              <w:tr2bl w:val="nil"/>
            </w:tcBorders>
            <w:shd w:val="clear" w:color="auto" w:fill="auto"/>
            <w:tcMar>
              <w:top w:w="120" w:type="dxa"/>
              <w:left w:w="120" w:type="dxa"/>
              <w:bottom w:w="120" w:type="dxa"/>
              <w:right w:w="120" w:type="dxa"/>
            </w:tcMar>
            <w:vAlign w:val="center"/>
          </w:tcPr>
          <w:p w14:paraId="454BA20F">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DD3</w:t>
            </w:r>
          </w:p>
        </w:tc>
        <w:tc>
          <w:tcPr>
            <w:tcW w:w="7463" w:type="dxa"/>
            <w:tcBorders>
              <w:tl2br w:val="nil"/>
              <w:tr2bl w:val="nil"/>
            </w:tcBorders>
            <w:shd w:val="clear" w:color="auto" w:fill="auto"/>
            <w:tcMar>
              <w:top w:w="120" w:type="dxa"/>
              <w:left w:w="120" w:type="dxa"/>
              <w:bottom w:w="120" w:type="dxa"/>
              <w:right w:w="120" w:type="dxa"/>
            </w:tcMar>
            <w:vAlign w:val="center"/>
          </w:tcPr>
          <w:p w14:paraId="44B8C497">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除承压类基本配置外，还应当配置以下或者达到同等要求的设备：</w:t>
            </w:r>
          </w:p>
          <w:p w14:paraId="4A56FDB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1.高温测厚仪2台；</w:t>
            </w:r>
          </w:p>
          <w:p w14:paraId="2D8EC46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2.可燃气体分析设备4台；</w:t>
            </w:r>
          </w:p>
          <w:p w14:paraId="6DDA808A">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3.接地电阻测试仪4台；</w:t>
            </w:r>
          </w:p>
          <w:p w14:paraId="43A7E625">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4.静电阻测量仪4台；</w:t>
            </w:r>
          </w:p>
          <w:p w14:paraId="00F2D144">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5.测温仪2台</w:t>
            </w:r>
          </w:p>
        </w:tc>
      </w:tr>
      <w:tr w14:paraId="03D750A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01E3B6FF">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9</w:t>
            </w:r>
          </w:p>
        </w:tc>
        <w:tc>
          <w:tcPr>
            <w:tcW w:w="856" w:type="pct"/>
            <w:tcBorders>
              <w:tl2br w:val="nil"/>
              <w:tr2bl w:val="nil"/>
            </w:tcBorders>
            <w:shd w:val="clear" w:color="auto" w:fill="auto"/>
            <w:tcMar>
              <w:top w:w="120" w:type="dxa"/>
              <w:left w:w="120" w:type="dxa"/>
              <w:bottom w:w="120" w:type="dxa"/>
              <w:right w:w="120" w:type="dxa"/>
            </w:tcMar>
            <w:vAlign w:val="center"/>
          </w:tcPr>
          <w:p w14:paraId="3889346D">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QD2</w:t>
            </w:r>
          </w:p>
        </w:tc>
        <w:tc>
          <w:tcPr>
            <w:tcW w:w="7463" w:type="dxa"/>
            <w:tcBorders>
              <w:tl2br w:val="nil"/>
              <w:tr2bl w:val="nil"/>
            </w:tcBorders>
            <w:shd w:val="clear" w:color="auto" w:fill="auto"/>
            <w:tcMar>
              <w:top w:w="120" w:type="dxa"/>
              <w:left w:w="120" w:type="dxa"/>
              <w:bottom w:w="120" w:type="dxa"/>
              <w:right w:w="120" w:type="dxa"/>
            </w:tcMar>
            <w:vAlign w:val="center"/>
          </w:tcPr>
          <w:p w14:paraId="74270B05">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机电类基本配置（Ⅰ类≥3台，Ⅱ类≥1台）+风速仪3台</w:t>
            </w:r>
          </w:p>
        </w:tc>
      </w:tr>
      <w:tr w14:paraId="3D55A1A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7127E885">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10</w:t>
            </w:r>
          </w:p>
        </w:tc>
        <w:tc>
          <w:tcPr>
            <w:tcW w:w="856" w:type="pct"/>
            <w:tcBorders>
              <w:tl2br w:val="nil"/>
              <w:tr2bl w:val="nil"/>
            </w:tcBorders>
            <w:shd w:val="clear" w:color="auto" w:fill="auto"/>
            <w:tcMar>
              <w:top w:w="120" w:type="dxa"/>
              <w:left w:w="120" w:type="dxa"/>
              <w:bottom w:w="120" w:type="dxa"/>
              <w:right w:w="120" w:type="dxa"/>
            </w:tcMar>
            <w:vAlign w:val="center"/>
          </w:tcPr>
          <w:p w14:paraId="1092BB0C">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QD3</w:t>
            </w:r>
          </w:p>
        </w:tc>
        <w:tc>
          <w:tcPr>
            <w:tcW w:w="7463" w:type="dxa"/>
            <w:tcBorders>
              <w:tl2br w:val="nil"/>
              <w:tr2bl w:val="nil"/>
            </w:tcBorders>
            <w:shd w:val="clear" w:color="auto" w:fill="auto"/>
            <w:tcMar>
              <w:top w:w="120" w:type="dxa"/>
              <w:left w:w="120" w:type="dxa"/>
              <w:bottom w:w="120" w:type="dxa"/>
              <w:right w:w="120" w:type="dxa"/>
            </w:tcMar>
            <w:vAlign w:val="center"/>
          </w:tcPr>
          <w:p w14:paraId="4E6B1697">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机电类基本配置（Ⅰ类≥2台，Ⅱ类≥1台）+风速仪2台</w:t>
            </w:r>
          </w:p>
        </w:tc>
      </w:tr>
      <w:tr w14:paraId="2C23CCE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407" w:type="pct"/>
            <w:tcBorders>
              <w:tl2br w:val="nil"/>
              <w:tr2bl w:val="nil"/>
            </w:tcBorders>
            <w:shd w:val="clear" w:color="auto" w:fill="auto"/>
            <w:tcMar>
              <w:top w:w="120" w:type="dxa"/>
              <w:left w:w="120" w:type="dxa"/>
              <w:bottom w:w="120" w:type="dxa"/>
              <w:right w:w="120" w:type="dxa"/>
            </w:tcMar>
            <w:vAlign w:val="center"/>
          </w:tcPr>
          <w:p w14:paraId="4C003440">
            <w:pPr>
              <w:keepNext w:val="0"/>
              <w:keepLines w:val="0"/>
              <w:widowControl/>
              <w:suppressLineNumbers w:val="0"/>
              <w:jc w:val="center"/>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11</w:t>
            </w:r>
          </w:p>
        </w:tc>
        <w:tc>
          <w:tcPr>
            <w:tcW w:w="856" w:type="pct"/>
            <w:tcBorders>
              <w:tl2br w:val="nil"/>
              <w:tr2bl w:val="nil"/>
            </w:tcBorders>
            <w:shd w:val="clear" w:color="auto" w:fill="auto"/>
            <w:tcMar>
              <w:top w:w="120" w:type="dxa"/>
              <w:left w:w="120" w:type="dxa"/>
              <w:bottom w:w="120" w:type="dxa"/>
              <w:right w:w="120" w:type="dxa"/>
            </w:tcMar>
            <w:vAlign w:val="center"/>
          </w:tcPr>
          <w:p w14:paraId="17960956">
            <w:pPr>
              <w:keepNext w:val="0"/>
              <w:keepLines w:val="0"/>
              <w:widowControl/>
              <w:suppressLineNumbers w:val="0"/>
              <w:jc w:val="center"/>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ND1</w:t>
            </w:r>
          </w:p>
        </w:tc>
        <w:tc>
          <w:tcPr>
            <w:tcW w:w="3736" w:type="pct"/>
            <w:tcBorders>
              <w:tl2br w:val="nil"/>
              <w:tr2bl w:val="nil"/>
            </w:tcBorders>
            <w:shd w:val="clear" w:color="auto" w:fill="auto"/>
            <w:tcMar>
              <w:top w:w="120" w:type="dxa"/>
              <w:left w:w="120" w:type="dxa"/>
              <w:bottom w:w="120" w:type="dxa"/>
              <w:right w:w="120" w:type="dxa"/>
            </w:tcMar>
            <w:vAlign w:val="center"/>
          </w:tcPr>
          <w:p w14:paraId="166A85DC">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1.噪声检测仪3台；</w:t>
            </w:r>
          </w:p>
          <w:p w14:paraId="2A19FF5D">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2.转向参数测试仪3台；</w:t>
            </w:r>
          </w:p>
          <w:p w14:paraId="211333E9">
            <w:pPr>
              <w:keepNext w:val="0"/>
              <w:keepLines w:val="0"/>
              <w:widowControl/>
              <w:suppressLineNumbers w:val="0"/>
              <w:jc w:val="left"/>
              <w:rPr>
                <w:rFonts w:hint="default" w:ascii="Times New Roman" w:hAnsi="Times New Roman" w:eastAsia="国标宋体" w:cs="Times New Roman"/>
                <w:color w:val="auto"/>
                <w:kern w:val="0"/>
                <w:sz w:val="24"/>
                <w:szCs w:val="24"/>
                <w:lang w:val="en-US" w:eastAsia="zh-CN" w:bidi="ar"/>
              </w:rPr>
            </w:pPr>
            <w:r>
              <w:rPr>
                <w:rFonts w:hint="default" w:ascii="Times New Roman" w:hAnsi="Times New Roman" w:eastAsia="国标宋体" w:cs="Times New Roman"/>
                <w:color w:val="auto"/>
                <w:kern w:val="0"/>
                <w:sz w:val="24"/>
                <w:szCs w:val="24"/>
                <w:lang w:val="en-US" w:eastAsia="zh-CN" w:bidi="ar"/>
              </w:rPr>
              <w:t>3.制动性能测试仪3台；</w:t>
            </w:r>
          </w:p>
          <w:p w14:paraId="29B12408">
            <w:pPr>
              <w:keepNext w:val="0"/>
              <w:keepLines w:val="0"/>
              <w:widowControl/>
              <w:suppressLineNumbers w:val="0"/>
              <w:jc w:val="left"/>
              <w:rPr>
                <w:rFonts w:hint="default" w:ascii="Times New Roman" w:hAnsi="Times New Roman" w:eastAsia="国标宋体" w:cs="Times New Roman"/>
                <w:color w:val="auto"/>
                <w:sz w:val="24"/>
                <w:lang w:val="en-US" w:eastAsia="zh-CN" w:bidi="ar-SA"/>
              </w:rPr>
            </w:pPr>
            <w:r>
              <w:rPr>
                <w:rFonts w:hint="default" w:ascii="Times New Roman" w:hAnsi="Times New Roman" w:eastAsia="国标宋体" w:cs="Times New Roman"/>
                <w:color w:val="auto"/>
                <w:kern w:val="0"/>
                <w:sz w:val="24"/>
                <w:szCs w:val="24"/>
                <w:lang w:val="en-US" w:eastAsia="zh-CN" w:bidi="ar"/>
              </w:rPr>
              <w:t>4.踏板力计3台</w:t>
            </w:r>
          </w:p>
        </w:tc>
      </w:tr>
    </w:tbl>
    <w:p w14:paraId="05E91499">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72D8675E">
      <w:pPr>
        <w:numPr>
          <w:ilvl w:val="0"/>
          <w:numId w:val="0"/>
        </w:numPr>
        <w:adjustRightInd w:val="0"/>
        <w:snapToGrid w:val="0"/>
        <w:spacing w:line="360" w:lineRule="auto"/>
        <w:ind w:firstLine="0" w:firstLineChars="0"/>
        <w:jc w:val="center"/>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b/>
          <w:bCs/>
          <w:color w:val="auto"/>
          <w:szCs w:val="24"/>
          <w:lang w:val="en-US" w:eastAsia="zh-CN" w:bidi="ar"/>
        </w:rPr>
        <w:t>RD6项目</w:t>
      </w:r>
      <w:r>
        <w:rPr>
          <w:rFonts w:hint="default" w:ascii="Times New Roman" w:hAnsi="Times New Roman" w:eastAsia="国标宋体" w:cs="Times New Roman"/>
          <w:b/>
          <w:bCs/>
          <w:color w:val="auto"/>
          <w:szCs w:val="24"/>
          <w:lang w:bidi="ar"/>
        </w:rPr>
        <w:t>检验设备配备</w:t>
      </w:r>
      <w:r>
        <w:rPr>
          <w:rFonts w:hint="default" w:ascii="Times New Roman" w:hAnsi="Times New Roman" w:eastAsia="国标宋体" w:cs="Times New Roman"/>
          <w:b/>
          <w:bCs/>
          <w:color w:val="auto"/>
          <w:szCs w:val="24"/>
          <w:lang w:eastAsia="zh-CN" w:bidi="ar"/>
        </w:rPr>
        <w:t>专项</w:t>
      </w:r>
      <w:r>
        <w:rPr>
          <w:rFonts w:hint="default" w:ascii="Times New Roman" w:hAnsi="Times New Roman" w:eastAsia="国标宋体" w:cs="Times New Roman"/>
          <w:b/>
          <w:bCs/>
          <w:color w:val="auto"/>
          <w:szCs w:val="24"/>
          <w:lang w:bidi="ar"/>
        </w:rPr>
        <w:t>要求</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2025"/>
        <w:gridCol w:w="7100"/>
      </w:tblGrid>
      <w:tr w14:paraId="654E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blHeader/>
        </w:trPr>
        <w:tc>
          <w:tcPr>
            <w:tcW w:w="619" w:type="dxa"/>
            <w:vAlign w:val="center"/>
          </w:tcPr>
          <w:p w14:paraId="3BD98E99">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序号</w:t>
            </w:r>
          </w:p>
        </w:tc>
        <w:tc>
          <w:tcPr>
            <w:tcW w:w="1904" w:type="dxa"/>
            <w:vAlign w:val="center"/>
          </w:tcPr>
          <w:p w14:paraId="71CC5682">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bidi="ar"/>
              </w:rPr>
              <w:t>核准项目代码</w:t>
            </w:r>
          </w:p>
        </w:tc>
        <w:tc>
          <w:tcPr>
            <w:tcW w:w="7439" w:type="dxa"/>
            <w:vAlign w:val="center"/>
          </w:tcPr>
          <w:p w14:paraId="4DD4305E">
            <w:pPr>
              <w:widowControl/>
              <w:jc w:val="center"/>
              <w:rPr>
                <w:rFonts w:hint="default" w:ascii="Times New Roman" w:hAnsi="Times New Roman" w:eastAsia="国标宋体" w:cs="Times New Roman"/>
                <w:b/>
                <w:bCs/>
                <w:color w:val="auto"/>
                <w:szCs w:val="24"/>
                <w:lang w:bidi="ar"/>
              </w:rPr>
            </w:pPr>
            <w:r>
              <w:rPr>
                <w:rFonts w:hint="default" w:ascii="Times New Roman" w:hAnsi="Times New Roman" w:eastAsia="国标宋体" w:cs="Times New Roman"/>
                <w:b/>
                <w:bCs/>
                <w:color w:val="auto"/>
                <w:szCs w:val="24"/>
                <w:lang w:val="en-US" w:eastAsia="zh-CN" w:bidi="ar"/>
              </w:rPr>
              <w:t>RD6项目</w:t>
            </w:r>
            <w:r>
              <w:rPr>
                <w:rFonts w:hint="default" w:ascii="Times New Roman" w:hAnsi="Times New Roman" w:eastAsia="国标宋体" w:cs="Times New Roman"/>
                <w:b/>
                <w:bCs/>
                <w:color w:val="auto"/>
                <w:szCs w:val="24"/>
                <w:lang w:bidi="ar"/>
              </w:rPr>
              <w:t>检验设备配备</w:t>
            </w:r>
            <w:r>
              <w:rPr>
                <w:rFonts w:hint="default" w:ascii="Times New Roman" w:hAnsi="Times New Roman" w:eastAsia="国标宋体" w:cs="Times New Roman"/>
                <w:b/>
                <w:bCs/>
                <w:color w:val="auto"/>
                <w:szCs w:val="24"/>
                <w:lang w:eastAsia="zh-CN" w:bidi="ar"/>
              </w:rPr>
              <w:t>专项</w:t>
            </w:r>
            <w:r>
              <w:rPr>
                <w:rFonts w:hint="default" w:ascii="Times New Roman" w:hAnsi="Times New Roman" w:eastAsia="国标宋体" w:cs="Times New Roman"/>
                <w:b/>
                <w:bCs/>
                <w:color w:val="auto"/>
                <w:szCs w:val="24"/>
                <w:lang w:bidi="ar"/>
              </w:rPr>
              <w:t>要求</w:t>
            </w:r>
          </w:p>
        </w:tc>
      </w:tr>
      <w:tr w14:paraId="20225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0" w:type="auto"/>
            <w:gridSpan w:val="3"/>
            <w:vAlign w:val="center"/>
          </w:tcPr>
          <w:p w14:paraId="33F2CC91">
            <w:pPr>
              <w:widowControl w:val="0"/>
              <w:ind w:firstLine="480" w:firstLineChars="20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检验机构申请 RD6 检验项目时，配置与其所承担气瓶核准项目相适应的通用条件和专项条件</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以下设备、设施，未注明数量的均为1台套</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其他按照安全技术规范、国家标准要求定期检验需要进行无损检测的，应当配备相应的无损检测设备；无损检测分包的，相应无损检测相关设备不作要求，但汽车用压缩天然气钢瓶定期检验要求的检测设备不能分包。</w:t>
            </w:r>
          </w:p>
        </w:tc>
      </w:tr>
      <w:tr w14:paraId="6396E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restart"/>
            <w:vAlign w:val="center"/>
          </w:tcPr>
          <w:p w14:paraId="14F03C44">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1</w:t>
            </w:r>
          </w:p>
        </w:tc>
        <w:tc>
          <w:tcPr>
            <w:tcW w:w="1904" w:type="dxa"/>
            <w:vMerge w:val="restart"/>
            <w:vAlign w:val="center"/>
          </w:tcPr>
          <w:p w14:paraId="1F8A3044">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rPr>
              <w:t>RD6</w:t>
            </w:r>
          </w:p>
        </w:tc>
        <w:tc>
          <w:tcPr>
            <w:tcW w:w="7439" w:type="dxa"/>
            <w:vMerge w:val="restart"/>
            <w:vAlign w:val="top"/>
          </w:tcPr>
          <w:p w14:paraId="0C5E1ED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配置与其所承担气瓶核准项目相适应的通用条件和专项条件（以下设备、设施，未注明数量的均为 1 台套）：</w:t>
            </w:r>
          </w:p>
          <w:p w14:paraId="6349CB2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1.通用条件</w:t>
            </w:r>
          </w:p>
          <w:p w14:paraId="42F46AA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（1）满足检验工作需要的量具；</w:t>
            </w:r>
          </w:p>
          <w:p w14:paraId="572D34F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（2）可燃气体分析设备；</w:t>
            </w:r>
          </w:p>
          <w:p w14:paraId="5A4E067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（3）残气、残液回收或处理装置；</w:t>
            </w:r>
          </w:p>
          <w:p w14:paraId="1AB77D2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（4）瓶阀自动装卸机，更换、拆卸阀门及其附件的</w:t>
            </w:r>
            <w:r>
              <w:rPr>
                <w:rFonts w:hint="default" w:ascii="Times New Roman" w:hAnsi="Times New Roman" w:eastAsia="国标宋体" w:cs="Times New Roman"/>
                <w:color w:val="auto"/>
                <w:lang w:eastAsia="zh-CN"/>
              </w:rPr>
              <w:t>工作台、工具、</w:t>
            </w:r>
            <w:r>
              <w:rPr>
                <w:rFonts w:hint="default" w:ascii="Times New Roman" w:hAnsi="Times New Roman" w:eastAsia="国标宋体" w:cs="Times New Roman"/>
                <w:color w:val="auto"/>
              </w:rPr>
              <w:t>卡具；</w:t>
            </w:r>
          </w:p>
          <w:p w14:paraId="282A284D">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5</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rPr>
              <w:t>外表面处理装置，包括清理、除锈、喷涂等装置</w:t>
            </w:r>
            <w:r>
              <w:rPr>
                <w:rFonts w:hint="default" w:ascii="Times New Roman" w:hAnsi="Times New Roman" w:eastAsia="国标宋体" w:cs="Times New Roman"/>
                <w:color w:val="auto"/>
                <w:lang w:eastAsia="zh-CN"/>
              </w:rPr>
              <w:t>；</w:t>
            </w:r>
          </w:p>
          <w:p w14:paraId="34355CD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（6）起重设备；</w:t>
            </w:r>
          </w:p>
          <w:p w14:paraId="03860EE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（7）气瓶阀门气密性试验装置；</w:t>
            </w:r>
          </w:p>
          <w:p w14:paraId="057E110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（8）报废气瓶消除使用功能设施。</w:t>
            </w:r>
          </w:p>
        </w:tc>
      </w:tr>
      <w:tr w14:paraId="6EFEE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61E0EDD">
            <w:pPr>
              <w:widowControl w:val="0"/>
              <w:jc w:val="center"/>
              <w:rPr>
                <w:rFonts w:hint="default" w:ascii="Times New Roman" w:hAnsi="Times New Roman" w:eastAsia="国标宋体" w:cs="Times New Roman"/>
                <w:color w:val="auto"/>
              </w:rPr>
            </w:pPr>
          </w:p>
        </w:tc>
        <w:tc>
          <w:tcPr>
            <w:tcW w:w="1904" w:type="dxa"/>
            <w:vMerge w:val="continue"/>
            <w:vAlign w:val="center"/>
          </w:tcPr>
          <w:p w14:paraId="78BF1B3B">
            <w:pPr>
              <w:widowControl w:val="0"/>
              <w:jc w:val="center"/>
              <w:rPr>
                <w:rFonts w:hint="default" w:ascii="Times New Roman" w:hAnsi="Times New Roman" w:eastAsia="国标宋体" w:cs="Times New Roman"/>
                <w:color w:val="auto"/>
              </w:rPr>
            </w:pPr>
          </w:p>
        </w:tc>
        <w:tc>
          <w:tcPr>
            <w:tcW w:w="7439" w:type="dxa"/>
            <w:vMerge w:val="continue"/>
            <w:vAlign w:val="top"/>
          </w:tcPr>
          <w:p w14:paraId="59C4BB24">
            <w:pPr>
              <w:widowControl w:val="0"/>
              <w:jc w:val="both"/>
              <w:rPr>
                <w:rFonts w:hint="default" w:ascii="Times New Roman" w:hAnsi="Times New Roman" w:eastAsia="国标宋体" w:cs="Times New Roman"/>
                <w:color w:val="auto"/>
              </w:rPr>
            </w:pPr>
          </w:p>
        </w:tc>
      </w:tr>
      <w:tr w14:paraId="28F8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BE03488">
            <w:pPr>
              <w:widowControl w:val="0"/>
              <w:jc w:val="center"/>
              <w:rPr>
                <w:rFonts w:hint="default" w:ascii="Times New Roman" w:hAnsi="Times New Roman" w:eastAsia="国标宋体" w:cs="Times New Roman"/>
                <w:color w:val="auto"/>
              </w:rPr>
            </w:pPr>
          </w:p>
        </w:tc>
        <w:tc>
          <w:tcPr>
            <w:tcW w:w="1904" w:type="dxa"/>
            <w:vMerge w:val="continue"/>
            <w:vAlign w:val="center"/>
          </w:tcPr>
          <w:p w14:paraId="5C9ED243">
            <w:pPr>
              <w:widowControl w:val="0"/>
              <w:jc w:val="center"/>
              <w:rPr>
                <w:rFonts w:hint="default" w:ascii="Times New Roman" w:hAnsi="Times New Roman" w:eastAsia="国标宋体" w:cs="Times New Roman"/>
                <w:color w:val="auto"/>
              </w:rPr>
            </w:pPr>
          </w:p>
        </w:tc>
        <w:tc>
          <w:tcPr>
            <w:tcW w:w="7439" w:type="dxa"/>
            <w:vMerge w:val="continue"/>
            <w:vAlign w:val="top"/>
          </w:tcPr>
          <w:p w14:paraId="1061F56F">
            <w:pPr>
              <w:widowControl w:val="0"/>
              <w:jc w:val="both"/>
              <w:rPr>
                <w:rFonts w:hint="default" w:ascii="Times New Roman" w:hAnsi="Times New Roman" w:eastAsia="国标宋体" w:cs="Times New Roman"/>
                <w:color w:val="auto"/>
              </w:rPr>
            </w:pPr>
          </w:p>
        </w:tc>
      </w:tr>
      <w:tr w14:paraId="703F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0C43A0B3">
            <w:pPr>
              <w:widowControl w:val="0"/>
              <w:jc w:val="center"/>
              <w:rPr>
                <w:rFonts w:hint="default" w:ascii="Times New Roman" w:hAnsi="Times New Roman" w:eastAsia="国标宋体" w:cs="Times New Roman"/>
                <w:color w:val="auto"/>
              </w:rPr>
            </w:pPr>
          </w:p>
        </w:tc>
        <w:tc>
          <w:tcPr>
            <w:tcW w:w="1904" w:type="dxa"/>
            <w:vMerge w:val="continue"/>
            <w:vAlign w:val="center"/>
          </w:tcPr>
          <w:p w14:paraId="3A2D6E3D">
            <w:pPr>
              <w:widowControl w:val="0"/>
              <w:jc w:val="center"/>
              <w:rPr>
                <w:rFonts w:hint="default" w:ascii="Times New Roman" w:hAnsi="Times New Roman" w:eastAsia="国标宋体" w:cs="Times New Roman"/>
                <w:color w:val="auto"/>
              </w:rPr>
            </w:pPr>
          </w:p>
        </w:tc>
        <w:tc>
          <w:tcPr>
            <w:tcW w:w="7439" w:type="dxa"/>
            <w:vMerge w:val="continue"/>
            <w:vAlign w:val="top"/>
          </w:tcPr>
          <w:p w14:paraId="1F89FEE4">
            <w:pPr>
              <w:widowControl w:val="0"/>
              <w:jc w:val="both"/>
              <w:rPr>
                <w:rFonts w:hint="default" w:ascii="Times New Roman" w:hAnsi="Times New Roman" w:eastAsia="国标宋体" w:cs="Times New Roman"/>
                <w:color w:val="auto"/>
              </w:rPr>
            </w:pPr>
          </w:p>
        </w:tc>
      </w:tr>
      <w:tr w14:paraId="2104C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393726D6">
            <w:pPr>
              <w:widowControl w:val="0"/>
              <w:jc w:val="center"/>
              <w:rPr>
                <w:rFonts w:hint="default" w:ascii="Times New Roman" w:hAnsi="Times New Roman" w:eastAsia="国标宋体" w:cs="Times New Roman"/>
                <w:color w:val="auto"/>
              </w:rPr>
            </w:pPr>
          </w:p>
        </w:tc>
        <w:tc>
          <w:tcPr>
            <w:tcW w:w="1904" w:type="dxa"/>
            <w:vMerge w:val="continue"/>
            <w:vAlign w:val="center"/>
          </w:tcPr>
          <w:p w14:paraId="0AD0D0D8">
            <w:pPr>
              <w:widowControl w:val="0"/>
              <w:jc w:val="center"/>
              <w:rPr>
                <w:rFonts w:hint="default" w:ascii="Times New Roman" w:hAnsi="Times New Roman" w:eastAsia="国标宋体" w:cs="Times New Roman"/>
                <w:color w:val="auto"/>
              </w:rPr>
            </w:pPr>
          </w:p>
        </w:tc>
        <w:tc>
          <w:tcPr>
            <w:tcW w:w="7439" w:type="dxa"/>
            <w:vMerge w:val="continue"/>
            <w:vAlign w:val="top"/>
          </w:tcPr>
          <w:p w14:paraId="15F49CD6">
            <w:pPr>
              <w:widowControl w:val="0"/>
              <w:jc w:val="both"/>
              <w:rPr>
                <w:rFonts w:hint="default" w:ascii="Times New Roman" w:hAnsi="Times New Roman" w:eastAsia="国标宋体" w:cs="Times New Roman"/>
                <w:color w:val="auto"/>
              </w:rPr>
            </w:pPr>
          </w:p>
        </w:tc>
      </w:tr>
      <w:tr w14:paraId="588B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573825C0">
            <w:pPr>
              <w:widowControl w:val="0"/>
              <w:jc w:val="center"/>
              <w:rPr>
                <w:rFonts w:hint="default" w:ascii="Times New Roman" w:hAnsi="Times New Roman" w:eastAsia="国标宋体" w:cs="Times New Roman"/>
                <w:color w:val="auto"/>
              </w:rPr>
            </w:pPr>
          </w:p>
        </w:tc>
        <w:tc>
          <w:tcPr>
            <w:tcW w:w="1904" w:type="dxa"/>
            <w:vMerge w:val="continue"/>
            <w:vAlign w:val="center"/>
          </w:tcPr>
          <w:p w14:paraId="5C957BB2">
            <w:pPr>
              <w:widowControl w:val="0"/>
              <w:jc w:val="center"/>
              <w:rPr>
                <w:rFonts w:hint="default" w:ascii="Times New Roman" w:hAnsi="Times New Roman" w:eastAsia="国标宋体" w:cs="Times New Roman"/>
                <w:color w:val="auto"/>
              </w:rPr>
            </w:pPr>
          </w:p>
        </w:tc>
        <w:tc>
          <w:tcPr>
            <w:tcW w:w="7439" w:type="dxa"/>
            <w:vMerge w:val="continue"/>
            <w:vAlign w:val="top"/>
          </w:tcPr>
          <w:p w14:paraId="7300A3C7">
            <w:pPr>
              <w:widowControl w:val="0"/>
              <w:jc w:val="both"/>
              <w:rPr>
                <w:rFonts w:hint="default" w:ascii="Times New Roman" w:hAnsi="Times New Roman" w:eastAsia="国标宋体" w:cs="Times New Roman"/>
                <w:color w:val="auto"/>
              </w:rPr>
            </w:pPr>
          </w:p>
        </w:tc>
      </w:tr>
      <w:tr w14:paraId="0A4F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4DD652DD">
            <w:pPr>
              <w:widowControl w:val="0"/>
              <w:jc w:val="center"/>
              <w:rPr>
                <w:rFonts w:hint="default" w:ascii="Times New Roman" w:hAnsi="Times New Roman" w:eastAsia="国标宋体" w:cs="Times New Roman"/>
                <w:color w:val="auto"/>
              </w:rPr>
            </w:pPr>
          </w:p>
        </w:tc>
        <w:tc>
          <w:tcPr>
            <w:tcW w:w="1904" w:type="dxa"/>
            <w:vMerge w:val="continue"/>
            <w:vAlign w:val="center"/>
          </w:tcPr>
          <w:p w14:paraId="7AD4C314">
            <w:pPr>
              <w:widowControl w:val="0"/>
              <w:jc w:val="center"/>
              <w:rPr>
                <w:rFonts w:hint="default" w:ascii="Times New Roman" w:hAnsi="Times New Roman" w:eastAsia="国标宋体" w:cs="Times New Roman"/>
                <w:color w:val="auto"/>
              </w:rPr>
            </w:pPr>
          </w:p>
        </w:tc>
        <w:tc>
          <w:tcPr>
            <w:tcW w:w="7439" w:type="dxa"/>
            <w:vMerge w:val="continue"/>
            <w:vAlign w:val="top"/>
          </w:tcPr>
          <w:p w14:paraId="1402A161">
            <w:pPr>
              <w:widowControl w:val="0"/>
              <w:jc w:val="both"/>
              <w:rPr>
                <w:rFonts w:hint="default" w:ascii="Times New Roman" w:hAnsi="Times New Roman" w:eastAsia="国标宋体" w:cs="Times New Roman"/>
                <w:color w:val="auto"/>
              </w:rPr>
            </w:pPr>
          </w:p>
        </w:tc>
      </w:tr>
      <w:tr w14:paraId="59058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Merge w:val="continue"/>
            <w:vAlign w:val="center"/>
          </w:tcPr>
          <w:p w14:paraId="2712E786">
            <w:pPr>
              <w:widowControl w:val="0"/>
              <w:jc w:val="center"/>
              <w:rPr>
                <w:rFonts w:hint="default" w:ascii="Times New Roman" w:hAnsi="Times New Roman" w:eastAsia="国标宋体" w:cs="Times New Roman"/>
                <w:color w:val="auto"/>
              </w:rPr>
            </w:pPr>
          </w:p>
        </w:tc>
        <w:tc>
          <w:tcPr>
            <w:tcW w:w="1904" w:type="dxa"/>
            <w:vMerge w:val="continue"/>
            <w:vAlign w:val="center"/>
          </w:tcPr>
          <w:p w14:paraId="4F13263B">
            <w:pPr>
              <w:widowControl w:val="0"/>
              <w:jc w:val="center"/>
              <w:rPr>
                <w:rFonts w:hint="default" w:ascii="Times New Roman" w:hAnsi="Times New Roman" w:eastAsia="国标宋体" w:cs="Times New Roman"/>
                <w:color w:val="auto"/>
              </w:rPr>
            </w:pPr>
          </w:p>
        </w:tc>
        <w:tc>
          <w:tcPr>
            <w:tcW w:w="7439" w:type="dxa"/>
            <w:vMerge w:val="continue"/>
            <w:vAlign w:val="top"/>
          </w:tcPr>
          <w:p w14:paraId="14838BFB">
            <w:pPr>
              <w:widowControl w:val="0"/>
              <w:jc w:val="both"/>
              <w:rPr>
                <w:rFonts w:hint="default" w:ascii="Times New Roman" w:hAnsi="Times New Roman" w:eastAsia="国标宋体" w:cs="Times New Roman"/>
                <w:color w:val="auto"/>
              </w:rPr>
            </w:pPr>
          </w:p>
        </w:tc>
      </w:tr>
      <w:tr w14:paraId="3055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619" w:type="dxa"/>
            <w:vAlign w:val="center"/>
          </w:tcPr>
          <w:p w14:paraId="4D686CB0">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2</w:t>
            </w:r>
          </w:p>
        </w:tc>
        <w:tc>
          <w:tcPr>
            <w:tcW w:w="1904" w:type="dxa"/>
            <w:vAlign w:val="center"/>
          </w:tcPr>
          <w:p w14:paraId="1FB1E39B">
            <w:pPr>
              <w:widowControl w:val="0"/>
              <w:jc w:val="center"/>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RD6</w:t>
            </w:r>
          </w:p>
        </w:tc>
        <w:tc>
          <w:tcPr>
            <w:tcW w:w="7439" w:type="dxa"/>
            <w:vAlign w:val="top"/>
          </w:tcPr>
          <w:p w14:paraId="61C1D63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2.专项条件</w:t>
            </w:r>
          </w:p>
          <w:p w14:paraId="29CC8FB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（1）无缝气瓶专项条件</w:t>
            </w:r>
          </w:p>
          <w:p w14:paraId="2EA0229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①检验底座深度的量具和工具、250g左右的铜锤；</w:t>
            </w:r>
          </w:p>
          <w:p w14:paraId="1BB560B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49F6C3AB">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00B5668C">
            <w:pPr>
              <w:widowControl w:val="0"/>
              <w:jc w:val="both"/>
              <w:rPr>
                <w:rFonts w:hint="default" w:ascii="Times New Roman" w:hAnsi="Times New Roman" w:eastAsia="国标宋体" w:cs="Times New Roman"/>
                <w:color w:val="auto"/>
                <w:lang w:eastAsia="zh-CN"/>
              </w:rPr>
            </w:pPr>
            <w:r>
              <w:rPr>
                <w:rFonts w:hint="default" w:ascii="Times New Roman" w:hAnsi="Times New Roman" w:eastAsia="国标宋体" w:cs="Times New Roman"/>
                <w:color w:val="auto"/>
              </w:rPr>
              <w:t>④内表面处理装置，包括内壁蒸汽吹扫或者清洗、脱脂装置，内部干燥装置</w:t>
            </w:r>
            <w:r>
              <w:rPr>
                <w:rFonts w:hint="default" w:ascii="Times New Roman" w:hAnsi="Times New Roman" w:eastAsia="国标宋体" w:cs="Times New Roman"/>
                <w:color w:val="auto"/>
                <w:lang w:eastAsia="zh-CN"/>
              </w:rPr>
              <w:t>；</w:t>
            </w:r>
          </w:p>
          <w:p w14:paraId="7BA896D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36B9EF1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⑥数字式超声探伤仪，标准试块、对比试块；</w:t>
            </w:r>
          </w:p>
          <w:p w14:paraId="6CAC9AC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⑦磁粉检测仪（仅限汽车用压缩天然气钢瓶需要</w:t>
            </w:r>
            <w:r>
              <w:rPr>
                <w:rFonts w:hint="default" w:ascii="Times New Roman" w:hAnsi="Times New Roman" w:eastAsia="国标宋体" w:cs="Times New Roman"/>
                <w:color w:val="auto"/>
                <w:lang w:eastAsia="zh-CN"/>
              </w:rPr>
              <w:t>，</w:t>
            </w:r>
            <w:r>
              <w:rPr>
                <w:rFonts w:hint="default" w:ascii="Times New Roman" w:hAnsi="Times New Roman" w:eastAsia="国标宋体" w:cs="Times New Roman"/>
                <w:color w:val="auto"/>
                <w:lang w:val="en-US" w:eastAsia="zh-CN"/>
              </w:rPr>
              <w:t>外委也需配置</w:t>
            </w:r>
            <w:r>
              <w:rPr>
                <w:rFonts w:hint="default" w:ascii="Times New Roman" w:hAnsi="Times New Roman" w:eastAsia="国标宋体" w:cs="Times New Roman"/>
                <w:color w:val="auto"/>
              </w:rPr>
              <w:t>）；</w:t>
            </w:r>
          </w:p>
          <w:p w14:paraId="62BC0BA2">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w:t>
            </w:r>
          </w:p>
          <w:p w14:paraId="4123549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⑨便携式硬度计。</w:t>
            </w:r>
          </w:p>
        </w:tc>
      </w:tr>
      <w:tr w14:paraId="4069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3CEC179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3</w:t>
            </w:r>
          </w:p>
        </w:tc>
        <w:tc>
          <w:tcPr>
            <w:tcW w:w="1904" w:type="dxa"/>
            <w:vAlign w:val="center"/>
          </w:tcPr>
          <w:p w14:paraId="1718B643">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4BB408E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（2）焊接气瓶专项条件</w:t>
            </w:r>
          </w:p>
          <w:p w14:paraId="65EF712A">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①检验底座深度的量具和工具、焊缝检验尺、250g 左右的铜锤；</w:t>
            </w:r>
          </w:p>
          <w:p w14:paraId="5A092C9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1A7CD11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4CD4520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5F0C6B73">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02A1002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⑥射线探伤装置，观片灯、报警设备、黑度计（外委时可不配置）；</w:t>
            </w:r>
          </w:p>
          <w:p w14:paraId="021F9C7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⑦磁粉检测仪（外委时可不配置）；</w:t>
            </w:r>
          </w:p>
          <w:p w14:paraId="68373C7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⑧测厚仪 4 台。</w:t>
            </w:r>
          </w:p>
        </w:tc>
      </w:tr>
      <w:tr w14:paraId="3E43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4043A6C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4</w:t>
            </w:r>
          </w:p>
        </w:tc>
        <w:tc>
          <w:tcPr>
            <w:tcW w:w="1904" w:type="dxa"/>
            <w:vAlign w:val="center"/>
          </w:tcPr>
          <w:p w14:paraId="3E584912">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46CE108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（3）内装填料气瓶专项条件</w:t>
            </w:r>
          </w:p>
          <w:p w14:paraId="4C5F8E6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①检验底座深度的量具和工具、焊缝检验尺；</w:t>
            </w:r>
          </w:p>
          <w:p w14:paraId="3C6A1EA9">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②余压测试压力表、专用不锈钢塞尺、三棱不锈钢针、弯钩、磁性刻度直尺；</w:t>
            </w:r>
          </w:p>
          <w:p w14:paraId="608235D1">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③气压试验装置；</w:t>
            </w:r>
          </w:p>
          <w:p w14:paraId="41E2ED0F">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④处理报废气瓶内部填料、丙酮的装置；</w:t>
            </w:r>
          </w:p>
          <w:p w14:paraId="393D956F">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⑤测厚仪。</w:t>
            </w:r>
          </w:p>
        </w:tc>
      </w:tr>
      <w:tr w14:paraId="1C64B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19" w:type="dxa"/>
            <w:vAlign w:val="center"/>
          </w:tcPr>
          <w:p w14:paraId="5AA13749">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5</w:t>
            </w:r>
          </w:p>
        </w:tc>
        <w:tc>
          <w:tcPr>
            <w:tcW w:w="1904" w:type="dxa"/>
            <w:vAlign w:val="center"/>
          </w:tcPr>
          <w:p w14:paraId="17ABEFB1">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72DFD62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（4）纤维缠绕气瓶专项条件</w:t>
            </w:r>
          </w:p>
          <w:p w14:paraId="2FF0CD1D">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①250g 左右的铜锤；</w:t>
            </w:r>
          </w:p>
          <w:p w14:paraId="3CB1EE5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②水压试验装置（禁油气瓶必须配置专用试压装置）；</w:t>
            </w:r>
          </w:p>
          <w:p w14:paraId="57E7BE66">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③气瓶自动或者机械倒水装置；</w:t>
            </w:r>
          </w:p>
          <w:p w14:paraId="3B05F5EC">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④内表面处理装置，包括内壁蒸汽吹扫或者清洗、脱脂装置，内部干燥装置；</w:t>
            </w:r>
          </w:p>
          <w:p w14:paraId="596526E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⑤气密性试验装置；</w:t>
            </w:r>
          </w:p>
          <w:p w14:paraId="4E071BA8">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⑥纤维部分修补工具和树脂；</w:t>
            </w:r>
          </w:p>
          <w:p w14:paraId="013782D5">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⑦视频内窥镜。</w:t>
            </w:r>
          </w:p>
        </w:tc>
      </w:tr>
      <w:tr w14:paraId="12D72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619" w:type="dxa"/>
            <w:vAlign w:val="center"/>
          </w:tcPr>
          <w:p w14:paraId="35F00EF7">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6</w:t>
            </w:r>
          </w:p>
        </w:tc>
        <w:tc>
          <w:tcPr>
            <w:tcW w:w="1904" w:type="dxa"/>
            <w:vAlign w:val="center"/>
          </w:tcPr>
          <w:p w14:paraId="7CE12929">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2CDFC2A5">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（5）低温绝热气瓶专项条件</w:t>
            </w:r>
          </w:p>
          <w:p w14:paraId="697694F4">
            <w:pPr>
              <w:widowControl w:val="0"/>
              <w:jc w:val="both"/>
              <w:rPr>
                <w:rFonts w:hint="default" w:ascii="Times New Roman" w:hAnsi="Times New Roman" w:eastAsia="国标宋体" w:cs="Times New Roman"/>
                <w:color w:val="auto"/>
              </w:rPr>
            </w:pPr>
            <w:r>
              <w:rPr>
                <w:rFonts w:hint="default" w:ascii="Times New Roman" w:hAnsi="Times New Roman" w:eastAsia="国标宋体" w:cs="Times New Roman"/>
                <w:color w:val="auto"/>
              </w:rPr>
              <w:t>①气密性试验装置；</w:t>
            </w:r>
          </w:p>
          <w:p w14:paraId="67E3901C">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rPr>
            </w:pPr>
            <w:r>
              <w:rPr>
                <w:rFonts w:hint="default" w:ascii="Times New Roman" w:hAnsi="Times New Roman" w:eastAsia="国标宋体" w:cs="Times New Roman"/>
                <w:color w:val="auto"/>
              </w:rPr>
              <w:t>②真空机组、检漏仪、标准漏孔、真空规管和真空计，液位计检验装置。</w:t>
            </w:r>
          </w:p>
        </w:tc>
      </w:tr>
      <w:tr w14:paraId="7468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 w:hRule="atLeast"/>
        </w:trPr>
        <w:tc>
          <w:tcPr>
            <w:tcW w:w="619" w:type="dxa"/>
            <w:vAlign w:val="center"/>
          </w:tcPr>
          <w:p w14:paraId="298237BB">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7</w:t>
            </w:r>
          </w:p>
        </w:tc>
        <w:tc>
          <w:tcPr>
            <w:tcW w:w="1904" w:type="dxa"/>
            <w:vAlign w:val="center"/>
          </w:tcPr>
          <w:p w14:paraId="101502E6">
            <w:pPr>
              <w:widowControl w:val="0"/>
              <w:jc w:val="center"/>
              <w:rPr>
                <w:rFonts w:hint="default" w:ascii="Times New Roman" w:hAnsi="Times New Roman" w:eastAsia="国标宋体" w:cs="Times New Roman"/>
                <w:color w:val="auto"/>
              </w:rPr>
            </w:pPr>
            <w:r>
              <w:rPr>
                <w:rFonts w:hint="default" w:ascii="Times New Roman" w:hAnsi="Times New Roman" w:eastAsia="国标宋体" w:cs="Times New Roman"/>
                <w:color w:val="auto"/>
                <w:lang w:val="en-US" w:eastAsia="zh-CN"/>
              </w:rPr>
              <w:t>RD6</w:t>
            </w:r>
          </w:p>
        </w:tc>
        <w:tc>
          <w:tcPr>
            <w:tcW w:w="7439" w:type="dxa"/>
            <w:vAlign w:val="top"/>
          </w:tcPr>
          <w:p w14:paraId="6AE5BFE8">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还应满足GB/T 12135</w:t>
            </w:r>
            <w:r>
              <w:rPr>
                <w:rFonts w:hint="eastAsia" w:eastAsia="国标宋体" w:cs="Times New Roman"/>
                <w:color w:val="auto"/>
                <w:lang w:val="en-US" w:eastAsia="zh-CN"/>
              </w:rPr>
              <w:t>—</w:t>
            </w:r>
            <w:r>
              <w:rPr>
                <w:rFonts w:hint="default" w:ascii="Times New Roman" w:hAnsi="Times New Roman" w:eastAsia="国标宋体" w:cs="Times New Roman"/>
                <w:color w:val="auto"/>
                <w:lang w:val="en-US" w:eastAsia="zh-CN"/>
              </w:rPr>
              <w:t>2025《气瓶检验机构技术条件》相关要求</w:t>
            </w:r>
          </w:p>
          <w:p w14:paraId="4CE30AA5">
            <w:pPr>
              <w:pageBreakBefore w:val="0"/>
              <w:widowControl w:val="0"/>
              <w:kinsoku/>
              <w:wordWrap/>
              <w:overflowPunct/>
              <w:topLinePunct w:val="0"/>
              <w:autoSpaceDE/>
              <w:autoSpaceDN/>
              <w:bidi w:val="0"/>
              <w:adjustRightInd/>
              <w:snapToGrid/>
              <w:jc w:val="both"/>
              <w:textAlignment w:val="auto"/>
              <w:rPr>
                <w:rFonts w:hint="default" w:ascii="Times New Roman" w:hAnsi="Times New Roman" w:eastAsia="国标宋体" w:cs="Times New Roman"/>
                <w:color w:val="auto"/>
                <w:lang w:val="en-US" w:eastAsia="zh-CN"/>
              </w:rPr>
            </w:pPr>
            <w:r>
              <w:rPr>
                <w:rFonts w:hint="default" w:ascii="Times New Roman" w:hAnsi="Times New Roman" w:eastAsia="国标宋体" w:cs="Times New Roman"/>
                <w:color w:val="auto"/>
                <w:lang w:val="en-US" w:eastAsia="zh-CN"/>
              </w:rPr>
              <w:t>对于已采用电子标签等信息化手段对气瓶进行管理的地区，申请单位是否配备电子标签读写装置</w:t>
            </w:r>
          </w:p>
        </w:tc>
      </w:tr>
    </w:tbl>
    <w:p w14:paraId="67412B27">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62126CEE">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p>
    <w:p w14:paraId="4938B541">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A3.2 检验</w:t>
      </w:r>
      <w:r>
        <w:rPr>
          <w:rFonts w:hint="default" w:ascii="Times New Roman" w:hAnsi="Times New Roman" w:eastAsia="国标宋体" w:cs="Times New Roman"/>
          <w:color w:val="auto"/>
          <w:spacing w:val="8"/>
          <w:sz w:val="28"/>
          <w:szCs w:val="28"/>
          <w:lang w:eastAsia="zh-CN"/>
        </w:rPr>
        <w:t>设备应当是申请单位的自有产权，按照</w:t>
      </w:r>
      <w:r>
        <w:rPr>
          <w:rFonts w:hint="default" w:ascii="Times New Roman" w:hAnsi="Times New Roman" w:eastAsia="国标宋体" w:cs="Times New Roman"/>
          <w:color w:val="auto"/>
          <w:spacing w:val="8"/>
          <w:sz w:val="28"/>
          <w:szCs w:val="28"/>
          <w:lang w:val="en-US" w:eastAsia="zh-CN"/>
        </w:rPr>
        <w:t>A1的要求</w:t>
      </w:r>
      <w:r>
        <w:rPr>
          <w:rFonts w:hint="default" w:ascii="Times New Roman" w:hAnsi="Times New Roman" w:eastAsia="国标宋体" w:cs="Times New Roman"/>
          <w:color w:val="auto"/>
          <w:spacing w:val="8"/>
          <w:sz w:val="28"/>
          <w:szCs w:val="28"/>
          <w:lang w:eastAsia="zh-CN"/>
        </w:rPr>
        <w:t>核查佐证材料。设备应提前调试合格，保证状态良好，张贴标识标牌，涉及特种设备的还应办理使用登记并按期检验。</w:t>
      </w:r>
    </w:p>
    <w:p w14:paraId="398339D2">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A3.3 </w:t>
      </w:r>
      <w:r>
        <w:rPr>
          <w:rFonts w:hint="default" w:ascii="Times New Roman" w:hAnsi="Times New Roman" w:eastAsia="国标宋体" w:cs="Times New Roman"/>
          <w:color w:val="auto"/>
          <w:spacing w:val="8"/>
          <w:sz w:val="28"/>
          <w:szCs w:val="28"/>
          <w:lang w:eastAsia="zh-CN"/>
        </w:rPr>
        <w:t>申请单位应当</w:t>
      </w:r>
      <w:r>
        <w:rPr>
          <w:rFonts w:hint="default" w:ascii="Times New Roman" w:hAnsi="Times New Roman" w:eastAsia="国标宋体" w:cs="Times New Roman"/>
          <w:color w:val="auto"/>
          <w:spacing w:val="8"/>
          <w:sz w:val="28"/>
          <w:szCs w:val="28"/>
        </w:rPr>
        <w:t>建立检验信息管理系统</w:t>
      </w:r>
      <w:r>
        <w:rPr>
          <w:rFonts w:hint="default" w:ascii="Times New Roman" w:hAnsi="Times New Roman" w:eastAsia="国标宋体" w:cs="Times New Roman"/>
          <w:color w:val="auto"/>
          <w:spacing w:val="8"/>
          <w:sz w:val="28"/>
          <w:szCs w:val="28"/>
          <w:lang w:eastAsia="zh-CN"/>
        </w:rPr>
        <w:t>，</w:t>
      </w:r>
      <w:r>
        <w:rPr>
          <w:rFonts w:hint="eastAsia" w:eastAsia="国标宋体" w:cs="Times New Roman"/>
          <w:color w:val="auto"/>
          <w:spacing w:val="8"/>
          <w:sz w:val="28"/>
          <w:szCs w:val="28"/>
          <w:lang w:eastAsia="zh-CN"/>
        </w:rPr>
        <w:t>评审组</w:t>
      </w:r>
      <w:r>
        <w:rPr>
          <w:rFonts w:hint="default" w:ascii="Times New Roman" w:hAnsi="Times New Roman" w:eastAsia="国标宋体" w:cs="Times New Roman"/>
          <w:color w:val="auto"/>
          <w:spacing w:val="8"/>
          <w:sz w:val="28"/>
          <w:szCs w:val="28"/>
        </w:rPr>
        <w:t>根据需要</w:t>
      </w:r>
      <w:r>
        <w:rPr>
          <w:rFonts w:hint="eastAsia" w:eastAsia="国标宋体" w:cs="Times New Roman"/>
          <w:color w:val="auto"/>
          <w:spacing w:val="8"/>
          <w:sz w:val="28"/>
          <w:szCs w:val="28"/>
          <w:lang w:eastAsia="zh-CN"/>
        </w:rPr>
        <w:t>核查</w:t>
      </w:r>
      <w:r>
        <w:rPr>
          <w:rFonts w:hint="default" w:ascii="Times New Roman" w:hAnsi="Times New Roman" w:eastAsia="国标宋体" w:cs="Times New Roman"/>
          <w:color w:val="auto"/>
          <w:spacing w:val="8"/>
          <w:sz w:val="28"/>
          <w:szCs w:val="28"/>
        </w:rPr>
        <w:t>真实、准确的特种设备检验数据、信息</w:t>
      </w:r>
      <w:r>
        <w:rPr>
          <w:rFonts w:hint="default" w:ascii="Times New Roman" w:hAnsi="Times New Roman" w:eastAsia="国标宋体" w:cs="Times New Roman"/>
          <w:color w:val="auto"/>
          <w:spacing w:val="8"/>
          <w:sz w:val="28"/>
          <w:szCs w:val="28"/>
          <w:vertAlign w:val="superscript"/>
          <w:lang w:eastAsia="zh-CN"/>
        </w:rPr>
        <w:t>注</w:t>
      </w:r>
      <w:r>
        <w:rPr>
          <w:rStyle w:val="19"/>
          <w:rFonts w:hint="default" w:ascii="Times New Roman" w:hAnsi="Times New Roman" w:eastAsia="国标宋体" w:cs="Times New Roman"/>
          <w:color w:val="auto"/>
          <w:spacing w:val="8"/>
          <w:sz w:val="28"/>
          <w:szCs w:val="28"/>
        </w:rPr>
        <w:footnoteReference w:id="4"/>
      </w:r>
      <w:r>
        <w:rPr>
          <w:rFonts w:hint="default" w:ascii="Times New Roman" w:hAnsi="Times New Roman" w:eastAsia="国标宋体" w:cs="Times New Roman"/>
          <w:color w:val="auto"/>
          <w:spacing w:val="8"/>
          <w:sz w:val="28"/>
          <w:szCs w:val="28"/>
        </w:rPr>
        <w:t>。</w:t>
      </w:r>
    </w:p>
    <w:p w14:paraId="384764EE">
      <w:pPr>
        <w:spacing w:line="240" w:lineRule="auto"/>
        <w:rPr>
          <w:rFonts w:hint="default" w:ascii="Times New Roman" w:hAnsi="Times New Roman" w:eastAsia="国标宋体" w:cs="Times New Roman"/>
          <w:color w:val="auto"/>
          <w:sz w:val="24"/>
          <w:szCs w:val="20"/>
          <w:lang w:val="en-US" w:eastAsia="zh-CN"/>
        </w:rPr>
      </w:pPr>
      <w:r>
        <w:rPr>
          <w:rFonts w:hint="default" w:ascii="Times New Roman" w:hAnsi="Times New Roman" w:eastAsia="国标宋体" w:cs="Times New Roman"/>
          <w:color w:val="auto"/>
          <w:sz w:val="24"/>
          <w:szCs w:val="20"/>
          <w:lang w:val="en-US" w:eastAsia="zh-CN"/>
        </w:rPr>
        <w:br w:type="page"/>
      </w:r>
    </w:p>
    <w:p w14:paraId="0D730FF6">
      <w:pPr>
        <w:pStyle w:val="2"/>
        <w:numPr>
          <w:ilvl w:val="0"/>
          <w:numId w:val="0"/>
        </w:numPr>
        <w:adjustRightInd w:val="0"/>
        <w:snapToGrid w:val="0"/>
        <w:spacing w:line="360" w:lineRule="auto"/>
        <w:rPr>
          <w:rFonts w:hint="default" w:ascii="Times New Roman" w:hAnsi="Times New Roman" w:eastAsia="国标宋体" w:cs="Times New Roman"/>
          <w:color w:val="auto"/>
          <w:sz w:val="28"/>
          <w:szCs w:val="28"/>
          <w:lang w:eastAsia="zh-CN"/>
        </w:rPr>
      </w:pPr>
      <w:bookmarkStart w:id="89" w:name="_Toc1620741251"/>
      <w:r>
        <w:rPr>
          <w:rFonts w:hint="default" w:ascii="Times New Roman" w:hAnsi="Times New Roman" w:eastAsia="国标宋体" w:cs="Times New Roman"/>
          <w:color w:val="auto"/>
          <w:sz w:val="28"/>
          <w:szCs w:val="28"/>
          <w:lang w:val="en-US" w:eastAsia="zh-CN"/>
        </w:rPr>
        <w:t>A4评审现场核查的场地</w:t>
      </w:r>
      <w:bookmarkEnd w:id="89"/>
    </w:p>
    <w:p w14:paraId="4C90488C">
      <w:pPr>
        <w:numPr>
          <w:ilvl w:val="0"/>
          <w:numId w:val="0"/>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eastAsia="zh-CN"/>
        </w:rPr>
      </w:pPr>
    </w:p>
    <w:p w14:paraId="0FF980A9">
      <w:pPr>
        <w:numPr>
          <w:ilvl w:val="0"/>
          <w:numId w:val="0"/>
        </w:numPr>
        <w:adjustRightInd w:val="0"/>
        <w:snapToGrid w:val="0"/>
        <w:spacing w:line="360" w:lineRule="auto"/>
        <w:ind w:firstLine="592" w:firstLineChars="200"/>
        <w:jc w:val="both"/>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 xml:space="preserve">A4.1 </w:t>
      </w:r>
      <w:r>
        <w:rPr>
          <w:rFonts w:hint="default" w:ascii="Times New Roman" w:hAnsi="Times New Roman" w:eastAsia="国标宋体" w:cs="Times New Roman"/>
          <w:color w:val="auto"/>
          <w:spacing w:val="8"/>
          <w:sz w:val="28"/>
          <w:szCs w:val="28"/>
        </w:rPr>
        <w:t>核查</w:t>
      </w:r>
      <w:r>
        <w:rPr>
          <w:rFonts w:hint="default" w:ascii="Times New Roman" w:hAnsi="Times New Roman" w:eastAsia="国标宋体" w:cs="Times New Roman"/>
          <w:color w:val="auto"/>
          <w:spacing w:val="8"/>
          <w:sz w:val="28"/>
          <w:szCs w:val="28"/>
          <w:lang w:eastAsia="zh-CN"/>
        </w:rPr>
        <w:t>固定办公场所：</w:t>
      </w:r>
      <w:r>
        <w:rPr>
          <w:rFonts w:hint="eastAsia" w:eastAsia="国标宋体" w:cs="Times New Roman"/>
          <w:color w:val="auto"/>
          <w:spacing w:val="8"/>
          <w:sz w:val="28"/>
          <w:szCs w:val="28"/>
          <w:lang w:eastAsia="zh-CN"/>
        </w:rPr>
        <w:t>评审组核查</w:t>
      </w:r>
      <w:r>
        <w:rPr>
          <w:rFonts w:hint="default" w:ascii="Times New Roman" w:hAnsi="Times New Roman" w:eastAsia="国标宋体" w:cs="Times New Roman"/>
          <w:color w:val="auto"/>
          <w:spacing w:val="8"/>
          <w:sz w:val="28"/>
          <w:szCs w:val="28"/>
          <w:lang w:eastAsia="zh-CN"/>
        </w:rPr>
        <w:t>申请甲类检验机构B1级的单位按照</w:t>
      </w:r>
      <w:r>
        <w:rPr>
          <w:rFonts w:hint="default" w:ascii="Times New Roman" w:hAnsi="Times New Roman" w:eastAsia="国标宋体" w:cs="Times New Roman"/>
          <w:color w:val="auto"/>
          <w:spacing w:val="8"/>
          <w:sz w:val="28"/>
          <w:szCs w:val="28"/>
        </w:rPr>
        <w:t>《核准规则》</w:t>
      </w:r>
      <w:r>
        <w:rPr>
          <w:rFonts w:hint="default" w:ascii="Times New Roman" w:hAnsi="Times New Roman" w:eastAsia="国标宋体" w:cs="Times New Roman"/>
          <w:color w:val="auto"/>
          <w:spacing w:val="8"/>
          <w:sz w:val="28"/>
          <w:szCs w:val="28"/>
          <w:lang w:val="en-US" w:eastAsia="zh-CN"/>
        </w:rPr>
        <w:t>D4.1的要求，配置</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rPr>
        <w:t>建筑面积不少于</w:t>
      </w:r>
      <w:r>
        <w:rPr>
          <w:rFonts w:hint="default" w:ascii="Times New Roman" w:hAnsi="Times New Roman" w:eastAsia="国标宋体" w:cs="Times New Roman"/>
          <w:color w:val="auto"/>
          <w:spacing w:val="8"/>
          <w:sz w:val="28"/>
          <w:szCs w:val="28"/>
          <w:lang w:val="en-US" w:eastAsia="zh-CN"/>
        </w:rPr>
        <w:t>3</w:t>
      </w:r>
      <w:r>
        <w:rPr>
          <w:rFonts w:hint="default" w:ascii="Times New Roman" w:hAnsi="Times New Roman" w:eastAsia="国标宋体" w:cs="Times New Roman"/>
          <w:color w:val="auto"/>
          <w:spacing w:val="8"/>
          <w:sz w:val="28"/>
          <w:szCs w:val="28"/>
        </w:rPr>
        <w:t>00</w:t>
      </w:r>
      <w:r>
        <w:rPr>
          <w:rFonts w:hint="default" w:ascii="Times New Roman" w:hAnsi="Times New Roman" w:eastAsia="国标宋体" w:cs="Times New Roman"/>
          <w:color w:val="auto"/>
          <w:spacing w:val="8"/>
          <w:sz w:val="28"/>
          <w:szCs w:val="28"/>
          <w:lang w:val="en-US" w:eastAsia="zh-CN"/>
        </w:rPr>
        <w:t>m</w:t>
      </w:r>
      <w:r>
        <w:rPr>
          <w:rFonts w:hint="default" w:ascii="Times New Roman" w:hAnsi="Times New Roman" w:eastAsia="国标宋体" w:cs="Times New Roman"/>
          <w:color w:val="auto"/>
          <w:spacing w:val="8"/>
          <w:sz w:val="28"/>
          <w:szCs w:val="28"/>
          <w:vertAlign w:val="superscript"/>
          <w:lang w:val="en-US" w:eastAsia="zh-CN"/>
        </w:rPr>
        <w:t>2</w:t>
      </w:r>
      <w:r>
        <w:rPr>
          <w:rFonts w:hint="default" w:ascii="Times New Roman" w:hAnsi="Times New Roman" w:eastAsia="国标宋体" w:cs="Times New Roman"/>
          <w:color w:val="auto"/>
          <w:spacing w:val="8"/>
          <w:sz w:val="28"/>
          <w:szCs w:val="28"/>
        </w:rPr>
        <w:t>的固定办公场所</w:t>
      </w:r>
      <w:r>
        <w:rPr>
          <w:rFonts w:hint="default" w:ascii="Times New Roman" w:hAnsi="Times New Roman" w:eastAsia="国标宋体" w:cs="Times New Roman"/>
          <w:color w:val="auto"/>
          <w:spacing w:val="8"/>
          <w:sz w:val="28"/>
          <w:szCs w:val="28"/>
          <w:lang w:eastAsia="zh-CN"/>
        </w:rPr>
        <w:t>。</w:t>
      </w:r>
    </w:p>
    <w:p w14:paraId="7FA005DC">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val="en-US" w:eastAsia="zh-CN"/>
        </w:rPr>
        <w:t>A</w:t>
      </w:r>
      <w:r>
        <w:rPr>
          <w:rFonts w:hint="eastAsia" w:eastAsia="国标宋体" w:cs="Times New Roman"/>
          <w:color w:val="auto"/>
          <w:spacing w:val="8"/>
          <w:sz w:val="28"/>
          <w:szCs w:val="28"/>
          <w:lang w:val="en-US" w:eastAsia="zh-CN"/>
        </w:rPr>
        <w:t>4.2</w:t>
      </w:r>
      <w:r>
        <w:rPr>
          <w:rFonts w:hint="default" w:ascii="Times New Roman" w:hAnsi="Times New Roman" w:eastAsia="国标宋体" w:cs="Times New Roman"/>
          <w:color w:val="auto"/>
          <w:spacing w:val="8"/>
          <w:sz w:val="28"/>
          <w:szCs w:val="28"/>
          <w:lang w:val="en-US" w:eastAsia="zh-CN"/>
        </w:rPr>
        <w:t xml:space="preserve"> </w:t>
      </w:r>
      <w:r>
        <w:rPr>
          <w:rFonts w:hint="eastAsia" w:eastAsia="国标宋体" w:cs="Times New Roman"/>
          <w:color w:val="auto"/>
          <w:spacing w:val="8"/>
          <w:sz w:val="28"/>
          <w:szCs w:val="28"/>
          <w:lang w:eastAsia="zh-CN"/>
        </w:rPr>
        <w:t>评审组核查</w:t>
      </w:r>
      <w:r>
        <w:rPr>
          <w:rFonts w:hint="default" w:ascii="Times New Roman" w:hAnsi="Times New Roman" w:eastAsia="国标宋体" w:cs="Times New Roman"/>
          <w:color w:val="auto"/>
          <w:spacing w:val="8"/>
          <w:sz w:val="28"/>
          <w:szCs w:val="28"/>
          <w:lang w:eastAsia="zh-CN"/>
        </w:rPr>
        <w:t>申请甲类检验机构B1级</w:t>
      </w:r>
      <w:r>
        <w:rPr>
          <w:rFonts w:hint="default" w:ascii="Times New Roman" w:hAnsi="Times New Roman" w:eastAsia="国标宋体" w:cs="Times New Roman"/>
          <w:color w:val="auto"/>
          <w:spacing w:val="8"/>
          <w:sz w:val="28"/>
          <w:szCs w:val="28"/>
          <w:lang w:val="en-US" w:eastAsia="zh-CN"/>
        </w:rPr>
        <w:t>RD6项目准备</w:t>
      </w:r>
      <w:r>
        <w:rPr>
          <w:rFonts w:hint="eastAsia" w:eastAsia="国标宋体" w:cs="Times New Roman"/>
          <w:color w:val="auto"/>
          <w:spacing w:val="8"/>
          <w:sz w:val="28"/>
          <w:szCs w:val="28"/>
          <w:lang w:val="en-US" w:eastAsia="zh-CN"/>
        </w:rPr>
        <w:t>的</w:t>
      </w:r>
      <w:r>
        <w:rPr>
          <w:rFonts w:hint="default" w:ascii="Times New Roman" w:hAnsi="Times New Roman" w:eastAsia="国标宋体" w:cs="Times New Roman"/>
          <w:color w:val="auto"/>
          <w:spacing w:val="8"/>
          <w:sz w:val="28"/>
          <w:szCs w:val="28"/>
          <w:lang w:val="en-US" w:eastAsia="zh-CN"/>
        </w:rPr>
        <w:t>检验场地：</w:t>
      </w:r>
    </w:p>
    <w:p w14:paraId="79012999">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rPr>
      </w:pPr>
      <w:r>
        <w:rPr>
          <w:rFonts w:hint="default" w:ascii="Times New Roman" w:hAnsi="Times New Roman" w:eastAsia="国标宋体" w:cs="Times New Roman"/>
          <w:color w:val="auto"/>
          <w:spacing w:val="8"/>
          <w:sz w:val="28"/>
          <w:szCs w:val="28"/>
        </w:rPr>
        <w:t>气瓶定期检验机构每个检验场地和设施均应当满足检验工作需要，每个检验场地面积不小于300m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对于液化石油气钢瓶和大容积气瓶</w:t>
      </w:r>
      <w:r>
        <w:rPr>
          <w:rFonts w:hint="default" w:ascii="Times New Roman" w:hAnsi="Times New Roman" w:eastAsia="国标宋体" w:cs="Times New Roman"/>
          <w:color w:val="auto"/>
          <w:spacing w:val="8"/>
          <w:sz w:val="28"/>
          <w:szCs w:val="28"/>
          <w:lang w:eastAsia="zh-CN"/>
        </w:rPr>
        <w:t>（公称容积大于</w:t>
      </w:r>
      <w:r>
        <w:rPr>
          <w:rFonts w:hint="default" w:ascii="Times New Roman" w:hAnsi="Times New Roman" w:eastAsia="国标宋体" w:cs="Times New Roman"/>
          <w:color w:val="auto"/>
          <w:spacing w:val="8"/>
          <w:sz w:val="28"/>
          <w:szCs w:val="28"/>
          <w:lang w:val="en-US" w:eastAsia="zh-CN"/>
        </w:rPr>
        <w:t>150L的气瓶</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的检验机构</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检验场地面积不应小于1000m</w:t>
      </w:r>
      <w:r>
        <w:rPr>
          <w:rFonts w:hint="default" w:ascii="Times New Roman" w:hAnsi="Times New Roman" w:eastAsia="国标宋体" w:cs="Times New Roman"/>
          <w:color w:val="auto"/>
          <w:spacing w:val="8"/>
          <w:sz w:val="28"/>
          <w:szCs w:val="28"/>
          <w:vertAlign w:val="superscript"/>
          <w:lang w:eastAsia="zh-CN"/>
        </w:rPr>
        <w:t>2</w:t>
      </w:r>
      <w:r>
        <w:rPr>
          <w:rFonts w:hint="default" w:ascii="Times New Roman" w:hAnsi="Times New Roman" w:eastAsia="国标宋体" w:cs="Times New Roman"/>
          <w:color w:val="auto"/>
          <w:spacing w:val="8"/>
          <w:sz w:val="28"/>
          <w:szCs w:val="28"/>
        </w:rPr>
        <w:t>。</w:t>
      </w:r>
    </w:p>
    <w:p w14:paraId="639911D7">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检验工艺流程应布局合理，且各流程区域应有明确分区标识</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待检区、检验区、合格区、</w:t>
      </w:r>
      <w:r>
        <w:rPr>
          <w:rFonts w:hint="default" w:ascii="Times New Roman" w:hAnsi="Times New Roman" w:eastAsia="国标宋体" w:cs="Times New Roman"/>
          <w:color w:val="auto"/>
          <w:spacing w:val="8"/>
          <w:sz w:val="28"/>
          <w:szCs w:val="28"/>
          <w:lang w:eastAsia="zh-CN"/>
        </w:rPr>
        <w:t>报废</w:t>
      </w:r>
      <w:r>
        <w:rPr>
          <w:rFonts w:hint="default" w:ascii="Times New Roman" w:hAnsi="Times New Roman" w:eastAsia="国标宋体" w:cs="Times New Roman"/>
          <w:color w:val="auto"/>
          <w:spacing w:val="8"/>
          <w:sz w:val="28"/>
          <w:szCs w:val="28"/>
        </w:rPr>
        <w:t>区等</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6210368B">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气瓶检验场地应当配备覆盖全部检验场地的固定影像记录设备，确保检验过程实现清晰可追溯的影像记录，影像资料保存期限不少于2年，核查过往的视频记录资料。</w:t>
      </w:r>
    </w:p>
    <w:p w14:paraId="70A7F64A">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val="en-US" w:eastAsia="zh-CN"/>
        </w:rPr>
        <w:t>气瓶定期检验场地及其附属设施可以租赁，同一检验场地和设施不得用于不同检验机构取得特种设备检验资质。</w:t>
      </w:r>
    </w:p>
    <w:p w14:paraId="3F6AB7E6">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rPr>
        <w:t>从事车用气瓶检验的检验机构应具有满足检验需要的停车场及拆卸和安装车用气瓶的场地</w:t>
      </w:r>
      <w:r>
        <w:rPr>
          <w:rFonts w:hint="default" w:ascii="Times New Roman" w:hAnsi="Times New Roman" w:eastAsia="国标宋体" w:cs="Times New Roman"/>
          <w:color w:val="auto"/>
          <w:spacing w:val="8"/>
          <w:sz w:val="28"/>
          <w:szCs w:val="28"/>
          <w:lang w:eastAsia="zh-CN"/>
        </w:rPr>
        <w:t>。车用氢气气瓶的泄压场地和设施，还应符合</w:t>
      </w:r>
      <w:r>
        <w:rPr>
          <w:rFonts w:hint="default" w:ascii="Times New Roman" w:hAnsi="Times New Roman" w:eastAsia="国标宋体" w:cs="Times New Roman"/>
          <w:color w:val="auto"/>
          <w:spacing w:val="8"/>
          <w:sz w:val="28"/>
          <w:szCs w:val="28"/>
          <w:lang w:val="en-US" w:eastAsia="zh-CN"/>
        </w:rPr>
        <w:t>GB/T 42626</w:t>
      </w:r>
      <w:r>
        <w:rPr>
          <w:rFonts w:hint="eastAsia" w:eastAsia="国标宋体" w:cs="Times New Roman"/>
          <w:color w:val="auto"/>
          <w:spacing w:val="8"/>
          <w:sz w:val="28"/>
          <w:szCs w:val="28"/>
          <w:lang w:val="en-US" w:eastAsia="zh-CN"/>
        </w:rPr>
        <w:t>—</w:t>
      </w:r>
      <w:r>
        <w:rPr>
          <w:rFonts w:hint="default" w:ascii="Times New Roman" w:hAnsi="Times New Roman" w:eastAsia="国标宋体" w:cs="Times New Roman"/>
          <w:color w:val="auto"/>
          <w:spacing w:val="8"/>
          <w:sz w:val="28"/>
          <w:szCs w:val="28"/>
          <w:lang w:val="en-US" w:eastAsia="zh-CN"/>
        </w:rPr>
        <w:t>2023《</w:t>
      </w:r>
      <w:r>
        <w:rPr>
          <w:rFonts w:hint="default" w:ascii="Times New Roman" w:hAnsi="Times New Roman" w:eastAsia="国标宋体" w:cs="Times New Roman"/>
          <w:color w:val="auto"/>
          <w:spacing w:val="8"/>
          <w:sz w:val="28"/>
          <w:szCs w:val="28"/>
        </w:rPr>
        <w:t>车用压缩氢气纤维全缠绕气瓶定期检验与评定</w:t>
      </w:r>
      <w:r>
        <w:rPr>
          <w:rFonts w:hint="default" w:ascii="Times New Roman" w:hAnsi="Times New Roman" w:eastAsia="国标宋体" w:cs="Times New Roman"/>
          <w:color w:val="auto"/>
          <w:spacing w:val="8"/>
          <w:sz w:val="28"/>
          <w:szCs w:val="28"/>
          <w:lang w:val="en-US" w:eastAsia="zh-CN"/>
        </w:rPr>
        <w:t>》的要求。</w:t>
      </w:r>
    </w:p>
    <w:p w14:paraId="3D451CCE">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应有满足检验需要的起重设备</w:t>
      </w:r>
      <w:r>
        <w:rPr>
          <w:rFonts w:hint="default" w:ascii="Times New Roman" w:hAnsi="Times New Roman" w:eastAsia="国标宋体" w:cs="Times New Roman"/>
          <w:color w:val="auto"/>
          <w:spacing w:val="8"/>
          <w:sz w:val="28"/>
          <w:szCs w:val="28"/>
        </w:rPr>
        <w:t>，符合《特种设备目录》规定的，还应当按照《特种设备使用管理规则》和《起重机械安全技术规程》进行管理。</w:t>
      </w:r>
    </w:p>
    <w:p w14:paraId="795EA9C4">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有防爆要求的场所使用的电器应为防爆型，并应满足相应规定。</w:t>
      </w:r>
    </w:p>
    <w:p w14:paraId="026ACD04">
      <w:pPr>
        <w:numPr>
          <w:ilvl w:val="0"/>
          <w:numId w:val="6"/>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val="en-US" w:eastAsia="zh-CN"/>
        </w:rPr>
      </w:pPr>
      <w:r>
        <w:rPr>
          <w:rFonts w:hint="default" w:ascii="Times New Roman" w:hAnsi="Times New Roman" w:eastAsia="国标宋体" w:cs="Times New Roman"/>
          <w:color w:val="auto"/>
          <w:spacing w:val="8"/>
          <w:sz w:val="28"/>
          <w:szCs w:val="28"/>
          <w:lang w:eastAsia="zh-CN"/>
        </w:rPr>
        <w:t>气瓶检验机构</w:t>
      </w:r>
      <w:r>
        <w:rPr>
          <w:rFonts w:hint="default" w:ascii="Times New Roman" w:hAnsi="Times New Roman" w:eastAsia="国标宋体" w:cs="Times New Roman"/>
          <w:color w:val="auto"/>
          <w:spacing w:val="8"/>
          <w:sz w:val="28"/>
          <w:szCs w:val="28"/>
          <w:lang w:val="en-US" w:eastAsia="zh-CN"/>
        </w:rPr>
        <w:t>对于需要在检验场地从事射线检测的，应具有满足防护要求的射线检测场地或</w:t>
      </w:r>
      <w:r>
        <w:rPr>
          <w:rFonts w:hint="default" w:ascii="Times New Roman" w:hAnsi="Times New Roman" w:eastAsia="国标宋体" w:cs="Times New Roman"/>
          <w:color w:val="auto"/>
          <w:spacing w:val="8"/>
          <w:sz w:val="28"/>
          <w:szCs w:val="28"/>
          <w:highlight w:val="none"/>
          <w:lang w:val="en-US" w:eastAsia="zh-CN"/>
        </w:rPr>
        <w:t>取得辐射许可证</w:t>
      </w:r>
      <w:r>
        <w:rPr>
          <w:rFonts w:hint="default" w:ascii="Times New Roman" w:hAnsi="Times New Roman" w:eastAsia="国标宋体" w:cs="Times New Roman"/>
          <w:color w:val="auto"/>
          <w:spacing w:val="8"/>
          <w:sz w:val="28"/>
          <w:szCs w:val="28"/>
          <w:lang w:val="en-US" w:eastAsia="zh-CN"/>
        </w:rPr>
        <w:t>。</w:t>
      </w:r>
    </w:p>
    <w:p w14:paraId="23A6DCD6">
      <w:pPr>
        <w:numPr>
          <w:ilvl w:val="0"/>
          <w:numId w:val="0"/>
        </w:numPr>
        <w:adjustRightInd w:val="0"/>
        <w:snapToGrid w:val="0"/>
        <w:spacing w:line="360" w:lineRule="auto"/>
        <w:ind w:firstLine="592" w:firstLineChars="200"/>
        <w:jc w:val="left"/>
        <w:rPr>
          <w:rFonts w:hint="default" w:ascii="Times New Roman" w:hAnsi="Times New Roman" w:eastAsia="国标宋体" w:cs="Times New Roman"/>
          <w:color w:val="auto"/>
          <w:spacing w:val="8"/>
          <w:sz w:val="28"/>
          <w:szCs w:val="28"/>
          <w:lang w:eastAsia="zh-CN"/>
        </w:rPr>
      </w:pPr>
    </w:p>
    <w:p w14:paraId="20F667A0">
      <w:pPr>
        <w:rPr>
          <w:rFonts w:hint="default" w:ascii="Times New Roman" w:hAnsi="Times New Roman" w:eastAsia="国标宋体" w:cs="Times New Roman"/>
          <w:color w:val="auto"/>
          <w:spacing w:val="8"/>
          <w:sz w:val="28"/>
          <w:szCs w:val="28"/>
          <w:lang w:eastAsia="zh-CN"/>
        </w:rPr>
      </w:pPr>
      <w:r>
        <w:rPr>
          <w:rFonts w:hint="default" w:ascii="Times New Roman" w:hAnsi="Times New Roman" w:eastAsia="国标宋体" w:cs="Times New Roman"/>
          <w:color w:val="auto"/>
          <w:spacing w:val="8"/>
          <w:sz w:val="28"/>
          <w:szCs w:val="28"/>
          <w:lang w:eastAsia="zh-CN"/>
        </w:rPr>
        <w:br w:type="page"/>
      </w:r>
    </w:p>
    <w:p w14:paraId="764657F1">
      <w:pPr>
        <w:pStyle w:val="2"/>
        <w:spacing w:line="360" w:lineRule="auto"/>
        <w:jc w:val="center"/>
        <w:rPr>
          <w:rFonts w:hint="default" w:ascii="Times New Roman" w:hAnsi="Times New Roman" w:eastAsia="国标宋体" w:cs="Times New Roman"/>
          <w:b w:val="0"/>
          <w:bCs/>
          <w:color w:val="auto"/>
          <w:sz w:val="32"/>
          <w:szCs w:val="32"/>
        </w:rPr>
      </w:pPr>
      <w:bookmarkStart w:id="90" w:name="_Toc10182"/>
      <w:bookmarkStart w:id="91" w:name="_Toc1162582002"/>
      <w:bookmarkStart w:id="92" w:name="_Toc657228711"/>
      <w:bookmarkStart w:id="93" w:name="_Toc19979"/>
      <w:bookmarkStart w:id="94" w:name="_Toc2094909611"/>
      <w:bookmarkStart w:id="95" w:name="_Toc15109"/>
      <w:bookmarkStart w:id="96" w:name="_Toc1037389312"/>
      <w:bookmarkStart w:id="97" w:name="_Toc27958"/>
      <w:bookmarkStart w:id="98" w:name="_Toc8856"/>
      <w:r>
        <w:rPr>
          <w:rFonts w:hint="default" w:ascii="Times New Roman" w:hAnsi="Times New Roman" w:eastAsia="国标宋体" w:cs="Times New Roman"/>
          <w:b w:val="0"/>
          <w:bCs/>
          <w:color w:val="auto"/>
          <w:sz w:val="32"/>
          <w:szCs w:val="32"/>
        </w:rPr>
        <w:t>附录B  质量管理体系迎审应当准备的材料</w:t>
      </w:r>
      <w:bookmarkEnd w:id="90"/>
      <w:bookmarkEnd w:id="91"/>
      <w:bookmarkEnd w:id="92"/>
      <w:bookmarkEnd w:id="93"/>
      <w:bookmarkEnd w:id="94"/>
      <w:bookmarkEnd w:id="95"/>
      <w:bookmarkEnd w:id="96"/>
      <w:bookmarkEnd w:id="97"/>
      <w:bookmarkEnd w:id="98"/>
    </w:p>
    <w:p w14:paraId="693BED00">
      <w:pPr>
        <w:numPr>
          <w:ilvl w:val="0"/>
          <w:numId w:val="0"/>
        </w:numPr>
        <w:adjustRightInd w:val="0"/>
        <w:snapToGrid w:val="0"/>
        <w:ind w:left="0" w:leftChars="0" w:firstLine="592" w:firstLineChars="200"/>
        <w:jc w:val="left"/>
        <w:rPr>
          <w:rFonts w:hint="default" w:ascii="Times New Roman" w:hAnsi="Times New Roman" w:eastAsia="国标宋体" w:cs="Times New Roman"/>
          <w:color w:val="auto"/>
          <w:spacing w:val="8"/>
          <w:sz w:val="28"/>
          <w:szCs w:val="28"/>
          <w:lang w:eastAsia="zh-CN"/>
        </w:rPr>
      </w:pPr>
      <w:r>
        <w:rPr>
          <w:rFonts w:hint="eastAsia" w:eastAsia="国标宋体" w:cs="Times New Roman"/>
          <w:color w:val="auto"/>
          <w:spacing w:val="8"/>
          <w:sz w:val="28"/>
          <w:szCs w:val="28"/>
          <w:lang w:val="en-US" w:eastAsia="zh-CN"/>
        </w:rPr>
        <w:t>申请</w:t>
      </w:r>
      <w:r>
        <w:rPr>
          <w:rFonts w:hint="default" w:ascii="Times New Roman" w:hAnsi="Times New Roman" w:eastAsia="国标宋体" w:cs="Times New Roman"/>
          <w:color w:val="auto"/>
          <w:spacing w:val="8"/>
          <w:sz w:val="28"/>
          <w:szCs w:val="28"/>
          <w:lang w:eastAsia="zh-CN"/>
        </w:rPr>
        <w:t>甲类检验机构</w:t>
      </w:r>
      <w:r>
        <w:rPr>
          <w:rFonts w:hint="default" w:ascii="Times New Roman" w:hAnsi="Times New Roman" w:eastAsia="国标宋体" w:cs="Times New Roman"/>
          <w:color w:val="auto"/>
          <w:spacing w:val="8"/>
          <w:sz w:val="28"/>
          <w:szCs w:val="28"/>
          <w:lang w:val="en-US" w:eastAsia="zh-CN"/>
        </w:rPr>
        <w:t>B1级</w:t>
      </w:r>
      <w:r>
        <w:rPr>
          <w:rFonts w:hint="default" w:ascii="Times New Roman" w:hAnsi="Times New Roman" w:eastAsia="国标宋体" w:cs="Times New Roman"/>
          <w:color w:val="auto"/>
          <w:spacing w:val="8"/>
          <w:sz w:val="28"/>
          <w:szCs w:val="28"/>
          <w:lang w:eastAsia="zh-CN"/>
        </w:rPr>
        <w:t>的单位</w:t>
      </w:r>
      <w:r>
        <w:rPr>
          <w:rFonts w:hint="eastAsia" w:eastAsia="国标宋体" w:cs="Times New Roman"/>
          <w:color w:val="auto"/>
          <w:spacing w:val="8"/>
          <w:sz w:val="28"/>
          <w:szCs w:val="28"/>
          <w:lang w:eastAsia="zh-CN"/>
        </w:rPr>
        <w:t>，评审组将</w:t>
      </w:r>
      <w:r>
        <w:rPr>
          <w:rFonts w:hint="default" w:ascii="Times New Roman" w:hAnsi="Times New Roman" w:eastAsia="国标宋体" w:cs="Times New Roman"/>
          <w:color w:val="auto"/>
          <w:spacing w:val="8"/>
          <w:sz w:val="28"/>
          <w:szCs w:val="28"/>
          <w:lang w:eastAsia="zh-CN"/>
        </w:rPr>
        <w:t>按照</w:t>
      </w:r>
      <w:r>
        <w:rPr>
          <w:rFonts w:hint="eastAsia" w:eastAsia="国标宋体" w:cs="Times New Roman"/>
          <w:color w:val="auto"/>
          <w:spacing w:val="8"/>
          <w:sz w:val="28"/>
          <w:szCs w:val="28"/>
          <w:lang w:eastAsia="zh-CN"/>
        </w:rPr>
        <w:t>《核准规则》</w:t>
      </w:r>
      <w:r>
        <w:rPr>
          <w:rFonts w:hint="default" w:ascii="Times New Roman" w:hAnsi="Times New Roman" w:eastAsia="国标宋体" w:cs="Times New Roman"/>
          <w:color w:val="auto"/>
          <w:spacing w:val="8"/>
          <w:sz w:val="28"/>
          <w:szCs w:val="28"/>
          <w:lang w:eastAsia="zh-CN"/>
        </w:rPr>
        <w:t>附件</w:t>
      </w:r>
      <w:r>
        <w:rPr>
          <w:rFonts w:hint="default" w:ascii="Times New Roman" w:hAnsi="Times New Roman" w:eastAsia="国标宋体" w:cs="Times New Roman"/>
          <w:color w:val="auto"/>
          <w:spacing w:val="8"/>
          <w:sz w:val="28"/>
          <w:szCs w:val="28"/>
          <w:lang w:val="en-US" w:eastAsia="zh-CN"/>
        </w:rPr>
        <w:t>F的要求核查</w:t>
      </w:r>
      <w:r>
        <w:rPr>
          <w:rFonts w:hint="default" w:ascii="Times New Roman" w:hAnsi="Times New Roman" w:eastAsia="国标宋体" w:cs="Times New Roman"/>
          <w:color w:val="auto"/>
          <w:spacing w:val="8"/>
          <w:sz w:val="28"/>
          <w:szCs w:val="28"/>
        </w:rPr>
        <w:t>质量管理体系</w:t>
      </w:r>
      <w:r>
        <w:rPr>
          <w:rFonts w:hint="eastAsia" w:eastAsia="国标宋体" w:cs="Times New Roman"/>
          <w:color w:val="auto"/>
          <w:spacing w:val="8"/>
          <w:sz w:val="28"/>
          <w:szCs w:val="28"/>
          <w:lang w:eastAsia="zh-CN"/>
        </w:rPr>
        <w:t>的</w:t>
      </w:r>
      <w:r>
        <w:rPr>
          <w:rFonts w:hint="default" w:ascii="Times New Roman" w:hAnsi="Times New Roman" w:eastAsia="国标宋体" w:cs="Times New Roman"/>
          <w:color w:val="auto"/>
          <w:spacing w:val="8"/>
          <w:sz w:val="28"/>
          <w:szCs w:val="28"/>
          <w:lang w:val="en-US" w:eastAsia="zh-CN"/>
        </w:rPr>
        <w:t>建立</w:t>
      </w:r>
      <w:r>
        <w:rPr>
          <w:rFonts w:hint="eastAsia" w:eastAsia="国标宋体" w:cs="Times New Roman"/>
          <w:color w:val="auto"/>
          <w:spacing w:val="8"/>
          <w:sz w:val="28"/>
          <w:szCs w:val="28"/>
          <w:lang w:val="en-US" w:eastAsia="zh-CN"/>
        </w:rPr>
        <w:t>和</w:t>
      </w:r>
      <w:r>
        <w:rPr>
          <w:rFonts w:hint="default" w:ascii="Times New Roman" w:hAnsi="Times New Roman" w:eastAsia="国标宋体" w:cs="Times New Roman"/>
          <w:color w:val="auto"/>
          <w:spacing w:val="8"/>
          <w:sz w:val="28"/>
          <w:szCs w:val="28"/>
          <w:lang w:eastAsia="zh-CN"/>
        </w:rPr>
        <w:t>有效</w:t>
      </w:r>
      <w:r>
        <w:rPr>
          <w:rFonts w:hint="default" w:ascii="Times New Roman" w:hAnsi="Times New Roman" w:eastAsia="国标宋体" w:cs="Times New Roman"/>
          <w:color w:val="auto"/>
          <w:spacing w:val="8"/>
          <w:sz w:val="28"/>
          <w:szCs w:val="28"/>
          <w:lang w:val="en-US" w:eastAsia="zh-CN"/>
        </w:rPr>
        <w:t>实施，</w:t>
      </w:r>
      <w:r>
        <w:rPr>
          <w:rFonts w:hint="default" w:ascii="Times New Roman" w:hAnsi="Times New Roman" w:eastAsia="国标宋体" w:cs="Times New Roman"/>
          <w:color w:val="auto"/>
          <w:spacing w:val="8"/>
          <w:sz w:val="28"/>
          <w:szCs w:val="28"/>
        </w:rPr>
        <w:t>设有下属单位的，</w:t>
      </w:r>
      <w:r>
        <w:rPr>
          <w:rFonts w:hint="default" w:ascii="Times New Roman" w:hAnsi="Times New Roman" w:eastAsia="国标宋体" w:cs="Times New Roman"/>
          <w:color w:val="auto"/>
          <w:spacing w:val="8"/>
          <w:sz w:val="28"/>
          <w:szCs w:val="28"/>
          <w:lang w:val="en-US" w:eastAsia="zh-CN"/>
        </w:rPr>
        <w:t>核查</w:t>
      </w:r>
      <w:r>
        <w:rPr>
          <w:rFonts w:hint="default" w:ascii="Times New Roman" w:hAnsi="Times New Roman" w:eastAsia="国标宋体" w:cs="Times New Roman"/>
          <w:color w:val="auto"/>
          <w:spacing w:val="8"/>
          <w:sz w:val="28"/>
          <w:szCs w:val="28"/>
        </w:rPr>
        <w:t>与下属单位建立和实施统一的质量管理体系</w:t>
      </w:r>
      <w:r>
        <w:rPr>
          <w:rFonts w:hint="default" w:ascii="Times New Roman" w:hAnsi="Times New Roman" w:eastAsia="国标宋体" w:cs="Times New Roman"/>
          <w:color w:val="auto"/>
          <w:spacing w:val="8"/>
          <w:sz w:val="28"/>
          <w:szCs w:val="28"/>
          <w:lang w:eastAsia="zh-CN"/>
        </w:rPr>
        <w:t>。</w:t>
      </w:r>
    </w:p>
    <w:p w14:paraId="3FE123F9">
      <w:pPr>
        <w:rPr>
          <w:rFonts w:hint="default" w:ascii="Times New Roman" w:hAnsi="Times New Roman" w:eastAsia="国标宋体" w:cs="Times New Roman"/>
          <w:color w:val="auto"/>
        </w:rPr>
      </w:pPr>
    </w:p>
    <w:tbl>
      <w:tblPr>
        <w:tblStyle w:val="24"/>
        <w:tblW w:w="51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2854"/>
        <w:gridCol w:w="7126"/>
      </w:tblGrid>
      <w:tr w14:paraId="6D2936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1430" w:type="pct"/>
            <w:vAlign w:val="center"/>
          </w:tcPr>
          <w:p w14:paraId="3CFA89A2">
            <w:pPr>
              <w:spacing w:line="240"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评审项</w:t>
            </w:r>
            <w:r>
              <w:rPr>
                <w:rFonts w:hint="default" w:ascii="Times New Roman" w:hAnsi="Times New Roman" w:eastAsia="国标宋体" w:cs="Times New Roman"/>
                <w:snapToGrid w:val="0"/>
                <w:color w:val="auto"/>
                <w:spacing w:val="6"/>
                <w:szCs w:val="24"/>
              </w:rPr>
              <w:t>目</w:t>
            </w:r>
          </w:p>
        </w:tc>
        <w:tc>
          <w:tcPr>
            <w:tcW w:w="3569" w:type="pct"/>
            <w:vAlign w:val="center"/>
          </w:tcPr>
          <w:p w14:paraId="1F831BF0">
            <w:pPr>
              <w:spacing w:line="240" w:lineRule="auto"/>
              <w:jc w:val="center"/>
              <w:rPr>
                <w:rFonts w:hint="eastAsia" w:ascii="Times New Roman" w:hAnsi="Times New Roman" w:eastAsia="国标宋体" w:cs="Times New Roman"/>
                <w:snapToGrid w:val="0"/>
                <w:color w:val="auto"/>
                <w:szCs w:val="21"/>
                <w:lang w:eastAsia="zh-CN"/>
              </w:rPr>
            </w:pPr>
            <w:r>
              <w:rPr>
                <w:rFonts w:hint="eastAsia" w:eastAsia="国标宋体" w:cs="Times New Roman"/>
                <w:snapToGrid w:val="0"/>
                <w:color w:val="auto"/>
                <w:spacing w:val="10"/>
                <w:szCs w:val="24"/>
                <w:lang w:eastAsia="zh-CN"/>
              </w:rPr>
              <w:t>核查</w:t>
            </w:r>
            <w:r>
              <w:rPr>
                <w:rFonts w:hint="default" w:ascii="Times New Roman" w:hAnsi="Times New Roman" w:eastAsia="国标宋体" w:cs="Times New Roman"/>
                <w:snapToGrid w:val="0"/>
                <w:color w:val="auto"/>
                <w:spacing w:val="9"/>
                <w:szCs w:val="24"/>
              </w:rPr>
              <w:t>的</w:t>
            </w:r>
            <w:r>
              <w:rPr>
                <w:rFonts w:hint="eastAsia" w:eastAsia="国标宋体" w:cs="Times New Roman"/>
                <w:snapToGrid w:val="0"/>
                <w:color w:val="auto"/>
                <w:spacing w:val="9"/>
                <w:szCs w:val="24"/>
                <w:lang w:eastAsia="zh-CN"/>
              </w:rPr>
              <w:t>见证资料</w:t>
            </w:r>
          </w:p>
        </w:tc>
      </w:tr>
      <w:tr w14:paraId="428A3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73AC5FF">
            <w:pPr>
              <w:spacing w:line="240" w:lineRule="auto"/>
              <w:ind w:left="133"/>
              <w:rPr>
                <w:rFonts w:hint="default" w:ascii="Times New Roman" w:hAnsi="Times New Roman" w:eastAsia="国标宋体" w:cs="Times New Roman"/>
                <w:snapToGrid w:val="0"/>
                <w:color w:val="auto"/>
                <w:spacing w:val="10"/>
                <w:szCs w:val="21"/>
              </w:rPr>
            </w:pPr>
            <w:r>
              <w:rPr>
                <w:rFonts w:hint="default" w:ascii="Times New Roman" w:hAnsi="Times New Roman" w:eastAsia="国标宋体" w:cs="Times New Roman"/>
                <w:snapToGrid w:val="0"/>
                <w:color w:val="auto"/>
                <w:spacing w:val="10"/>
                <w:szCs w:val="24"/>
              </w:rPr>
              <w:t xml:space="preserve">1 </w:t>
            </w:r>
            <w:r>
              <w:rPr>
                <w:rFonts w:hint="default" w:ascii="Times New Roman" w:hAnsi="Times New Roman" w:eastAsia="国标宋体" w:cs="Times New Roman"/>
                <w:snapToGrid w:val="0"/>
                <w:color w:val="auto"/>
                <w:spacing w:val="5"/>
                <w:szCs w:val="24"/>
              </w:rPr>
              <w:t>质量管理体系</w:t>
            </w:r>
          </w:p>
        </w:tc>
      </w:tr>
      <w:tr w14:paraId="74491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54E1E74">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5"/>
                <w:szCs w:val="24"/>
              </w:rPr>
              <w:t>.1 质量管理体</w:t>
            </w:r>
            <w:r>
              <w:rPr>
                <w:rFonts w:hint="default" w:ascii="Times New Roman" w:hAnsi="Times New Roman" w:eastAsia="国标宋体" w:cs="Times New Roman"/>
                <w:snapToGrid w:val="0"/>
                <w:color w:val="auto"/>
                <w:spacing w:val="4"/>
                <w:szCs w:val="24"/>
              </w:rPr>
              <w:t>系</w:t>
            </w:r>
            <w:r>
              <w:rPr>
                <w:rFonts w:hint="default" w:ascii="Times New Roman" w:hAnsi="Times New Roman" w:eastAsia="国标宋体" w:cs="Times New Roman"/>
                <w:snapToGrid w:val="0"/>
                <w:color w:val="auto"/>
                <w:spacing w:val="3"/>
                <w:szCs w:val="24"/>
              </w:rPr>
              <w:t>建立</w:t>
            </w:r>
          </w:p>
        </w:tc>
        <w:tc>
          <w:tcPr>
            <w:tcW w:w="3569" w:type="pct"/>
            <w:vAlign w:val="center"/>
          </w:tcPr>
          <w:p w14:paraId="0AB7612C">
            <w:pPr>
              <w:spacing w:line="240" w:lineRule="auto"/>
              <w:ind w:left="123" w:right="271" w:firstLine="1"/>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核查完整的、经正式颁布实施的质量</w:t>
            </w:r>
            <w:r>
              <w:rPr>
                <w:rFonts w:hint="default" w:ascii="Times New Roman" w:hAnsi="Times New Roman" w:eastAsia="国标宋体" w:cs="Times New Roman"/>
                <w:snapToGrid w:val="0"/>
                <w:color w:val="auto"/>
                <w:szCs w:val="24"/>
              </w:rPr>
              <w:t>手</w:t>
            </w:r>
            <w:r>
              <w:rPr>
                <w:rFonts w:hint="default" w:ascii="Times New Roman" w:hAnsi="Times New Roman" w:eastAsia="国标宋体" w:cs="Times New Roman"/>
                <w:snapToGrid w:val="0"/>
                <w:color w:val="auto"/>
                <w:spacing w:val="20"/>
                <w:szCs w:val="24"/>
              </w:rPr>
              <w:t>册</w:t>
            </w:r>
            <w:r>
              <w:rPr>
                <w:rFonts w:hint="default" w:ascii="Times New Roman" w:hAnsi="Times New Roman" w:eastAsia="国标宋体" w:cs="Times New Roman"/>
                <w:snapToGrid w:val="0"/>
                <w:color w:val="auto"/>
                <w:spacing w:val="10"/>
                <w:szCs w:val="24"/>
              </w:rPr>
              <w:t>、程序文件、管理制度、作业指导</w:t>
            </w:r>
            <w:r>
              <w:rPr>
                <w:rFonts w:hint="default" w:ascii="Times New Roman" w:hAnsi="Times New Roman" w:eastAsia="国标宋体" w:cs="Times New Roman"/>
                <w:snapToGrid w:val="0"/>
                <w:color w:val="auto"/>
                <w:spacing w:val="6"/>
                <w:szCs w:val="24"/>
              </w:rPr>
              <w:t>文件</w:t>
            </w:r>
            <w:r>
              <w:rPr>
                <w:rFonts w:hint="default" w:ascii="Times New Roman" w:hAnsi="Times New Roman" w:eastAsia="国标宋体" w:cs="Times New Roman"/>
                <w:snapToGrid w:val="0"/>
                <w:color w:val="auto"/>
                <w:spacing w:val="3"/>
                <w:szCs w:val="24"/>
              </w:rPr>
              <w:t>、记录表格</w:t>
            </w:r>
            <w:r>
              <w:rPr>
                <w:rFonts w:hint="default" w:ascii="Times New Roman" w:hAnsi="Times New Roman" w:eastAsia="国标宋体" w:cs="Times New Roman"/>
                <w:snapToGrid w:val="0"/>
                <w:color w:val="auto"/>
                <w:spacing w:val="3"/>
                <w:szCs w:val="24"/>
                <w:lang w:eastAsia="zh-CN"/>
              </w:rPr>
              <w:t>、与检验有关的法律法规等外来文件</w:t>
            </w:r>
            <w:r>
              <w:rPr>
                <w:rFonts w:hint="default" w:ascii="Times New Roman" w:hAnsi="Times New Roman" w:eastAsia="国标宋体" w:cs="Times New Roman"/>
                <w:snapToGrid w:val="0"/>
                <w:color w:val="auto"/>
                <w:spacing w:val="3"/>
                <w:szCs w:val="24"/>
              </w:rPr>
              <w:t>。</w:t>
            </w:r>
          </w:p>
        </w:tc>
      </w:tr>
      <w:tr w14:paraId="3D345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9D2AEA6">
            <w:pPr>
              <w:spacing w:line="240" w:lineRule="auto"/>
              <w:ind w:left="132" w:right="11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1.2 质量手册建立</w:t>
            </w:r>
          </w:p>
        </w:tc>
        <w:tc>
          <w:tcPr>
            <w:tcW w:w="3569" w:type="pct"/>
            <w:vAlign w:val="center"/>
          </w:tcPr>
          <w:p w14:paraId="43DA81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的质量手册及其审批的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，质量手册应当包括以下内容：</w:t>
            </w:r>
          </w:p>
          <w:p w14:paraId="480EE17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（1）质量方针；</w:t>
            </w:r>
          </w:p>
          <w:p w14:paraId="6DD3694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（2）质量目标；</w:t>
            </w:r>
          </w:p>
          <w:p w14:paraId="057906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（3）适用范围；</w:t>
            </w:r>
          </w:p>
          <w:p w14:paraId="2AE1B9E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机构概况</w:t>
            </w:r>
            <w:r>
              <w:rPr>
                <w:rFonts w:hint="default" w:ascii="Times New Roman" w:hAnsi="Times New Roman" w:eastAsia="国标宋体" w:cs="Times New Roman"/>
                <w:snapToGrid w:val="0"/>
                <w:color w:val="auto"/>
                <w:spacing w:val="6"/>
                <w:szCs w:val="24"/>
                <w:lang w:eastAsia="zh-CN"/>
              </w:rPr>
              <w:t>；</w:t>
            </w:r>
          </w:p>
          <w:p w14:paraId="1B272B6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行政管理和质量管理的组织结构、职责和隶属关系描述</w:t>
            </w:r>
            <w:r>
              <w:rPr>
                <w:rFonts w:hint="default" w:ascii="Times New Roman" w:hAnsi="Times New Roman" w:eastAsia="国标宋体" w:cs="Times New Roman"/>
                <w:snapToGrid w:val="0"/>
                <w:color w:val="auto"/>
                <w:spacing w:val="6"/>
                <w:szCs w:val="24"/>
                <w:lang w:eastAsia="zh-CN"/>
              </w:rPr>
              <w:t>；</w:t>
            </w:r>
          </w:p>
          <w:p w14:paraId="46EA17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对检验工作质量有影响的相关岗位的职责和权限</w:t>
            </w:r>
            <w:r>
              <w:rPr>
                <w:rFonts w:hint="default" w:ascii="Times New Roman" w:hAnsi="Times New Roman" w:eastAsia="国标宋体" w:cs="Times New Roman"/>
                <w:snapToGrid w:val="0"/>
                <w:color w:val="auto"/>
                <w:spacing w:val="6"/>
                <w:szCs w:val="24"/>
                <w:lang w:eastAsia="zh-CN"/>
              </w:rPr>
              <w:t>；</w:t>
            </w:r>
          </w:p>
          <w:p w14:paraId="7A5524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各质量要素及其相互关系的原则性描述</w:t>
            </w:r>
            <w:r>
              <w:rPr>
                <w:rFonts w:hint="default" w:ascii="Times New Roman" w:hAnsi="Times New Roman" w:eastAsia="国标宋体" w:cs="Times New Roman"/>
                <w:snapToGrid w:val="0"/>
                <w:color w:val="auto"/>
                <w:spacing w:val="6"/>
                <w:szCs w:val="24"/>
                <w:lang w:eastAsia="zh-CN"/>
              </w:rPr>
              <w:t>；</w:t>
            </w:r>
          </w:p>
          <w:p w14:paraId="619AD96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支持性文件</w:t>
            </w:r>
            <w:r>
              <w:rPr>
                <w:rFonts w:hint="default" w:ascii="Times New Roman" w:hAnsi="Times New Roman" w:eastAsia="国标宋体" w:cs="Times New Roman"/>
                <w:snapToGrid w:val="0"/>
                <w:color w:val="auto"/>
                <w:spacing w:val="6"/>
                <w:szCs w:val="24"/>
                <w:lang w:eastAsia="zh-CN"/>
              </w:rPr>
              <w:t>。</w:t>
            </w:r>
          </w:p>
        </w:tc>
      </w:tr>
      <w:tr w14:paraId="71E2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71DB3D">
            <w:pPr>
              <w:tabs>
                <w:tab w:val="left" w:pos="227"/>
              </w:tabs>
              <w:spacing w:line="240" w:lineRule="auto"/>
              <w:ind w:left="124" w:right="136" w:firstLine="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1</w:t>
            </w:r>
            <w:r>
              <w:rPr>
                <w:rFonts w:hint="default" w:ascii="Times New Roman" w:hAnsi="Times New Roman" w:eastAsia="国标宋体" w:cs="Times New Roman"/>
                <w:snapToGrid w:val="0"/>
                <w:color w:val="auto"/>
                <w:spacing w:val="4"/>
                <w:szCs w:val="24"/>
              </w:rPr>
              <w:t>.3 程序文件建</w:t>
            </w:r>
            <w:r>
              <w:rPr>
                <w:rFonts w:hint="default" w:ascii="Times New Roman" w:hAnsi="Times New Roman" w:eastAsia="国标宋体" w:cs="Times New Roman"/>
                <w:snapToGrid w:val="0"/>
                <w:color w:val="auto"/>
                <w:spacing w:val="3"/>
                <w:szCs w:val="24"/>
              </w:rPr>
              <w:t>立</w:t>
            </w:r>
          </w:p>
        </w:tc>
        <w:tc>
          <w:tcPr>
            <w:tcW w:w="3569" w:type="pct"/>
            <w:vAlign w:val="center"/>
          </w:tcPr>
          <w:p w14:paraId="0B2B6FC4">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的程序文件及其审批的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r w14:paraId="51B39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FD4A176">
            <w:pPr>
              <w:tabs>
                <w:tab w:val="left" w:pos="227"/>
              </w:tabs>
              <w:spacing w:line="240" w:lineRule="auto"/>
              <w:ind w:left="124" w:right="136" w:firstLine="8"/>
              <w:rPr>
                <w:rFonts w:hint="default" w:ascii="Times New Roman" w:hAnsi="Times New Roman" w:eastAsia="国标宋体" w:cs="Times New Roman"/>
                <w:snapToGrid w:val="0"/>
                <w:color w:val="auto"/>
                <w:spacing w:val="7"/>
                <w:szCs w:val="21"/>
                <w:lang w:val="en-US" w:eastAsia="zh-CN"/>
              </w:rPr>
            </w:pPr>
            <w:r>
              <w:rPr>
                <w:rFonts w:hint="default" w:ascii="Times New Roman" w:hAnsi="Times New Roman" w:eastAsia="国标宋体" w:cs="Times New Roman"/>
                <w:snapToGrid w:val="0"/>
                <w:color w:val="auto"/>
                <w:spacing w:val="7"/>
                <w:szCs w:val="24"/>
                <w:lang w:val="en-US" w:eastAsia="zh-CN"/>
              </w:rPr>
              <w:t>1.4 作业指导书</w:t>
            </w:r>
          </w:p>
        </w:tc>
        <w:tc>
          <w:tcPr>
            <w:tcW w:w="3569" w:type="pct"/>
            <w:vAlign w:val="center"/>
          </w:tcPr>
          <w:p w14:paraId="0AE7B602">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正式发布后满足检验工作开展需要的作业指导书</w:t>
            </w:r>
            <w:r>
              <w:rPr>
                <w:rFonts w:hint="default" w:ascii="Times New Roman" w:hAnsi="Times New Roman" w:eastAsia="国标宋体" w:cs="Times New Roman"/>
                <w:snapToGrid w:val="0"/>
                <w:color w:val="auto"/>
                <w:spacing w:val="6"/>
                <w:szCs w:val="24"/>
              </w:rPr>
              <w:t>及其审批的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85ADE8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作业指导书是对检验过程及相关质量活动的具体描述</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通常包括检验细则或者工艺、检验设备操作规程、检验设备内部校准规程、安全措施、应急措施等，其种类和内容应当满足检验工作开展的需要。</w:t>
            </w:r>
          </w:p>
          <w:p w14:paraId="6566B58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检验机构应当依据有关法律、法规、规章、安全技术规范及相关标准，结合特种设备的种类、类别、品种、结构型式、参数以及使用情况等制定检验作业指导书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有检验方案要求的，应当制定检验方案。</w:t>
            </w:r>
          </w:p>
        </w:tc>
      </w:tr>
      <w:tr w14:paraId="014F5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E1112A2">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1"/>
                <w:szCs w:val="24"/>
              </w:rPr>
              <w:t>1.</w:t>
            </w:r>
            <w:r>
              <w:rPr>
                <w:rFonts w:hint="default" w:ascii="Times New Roman" w:hAnsi="Times New Roman" w:eastAsia="国标宋体" w:cs="Times New Roman"/>
                <w:snapToGrid w:val="0"/>
                <w:color w:val="auto"/>
                <w:spacing w:val="11"/>
                <w:szCs w:val="24"/>
                <w:lang w:val="en-US" w:eastAsia="zh-CN"/>
              </w:rPr>
              <w:t>5</w:t>
            </w:r>
            <w:r>
              <w:rPr>
                <w:rFonts w:hint="default" w:ascii="Times New Roman" w:hAnsi="Times New Roman" w:eastAsia="国标宋体" w:cs="Times New Roman"/>
                <w:snapToGrid w:val="0"/>
                <w:color w:val="auto"/>
                <w:spacing w:val="11"/>
                <w:szCs w:val="24"/>
              </w:rPr>
              <w:t>文件控制</w:t>
            </w:r>
          </w:p>
        </w:tc>
        <w:tc>
          <w:tcPr>
            <w:tcW w:w="3569" w:type="pct"/>
            <w:vAlign w:val="center"/>
          </w:tcPr>
          <w:p w14:paraId="4AC1A84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lang w:eastAsia="zh-CN"/>
              </w:rPr>
              <w:t>正式发布和实施文件控制程序，并且达到以下要求：</w:t>
            </w:r>
          </w:p>
          <w:p w14:paraId="58D8325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（1）明确受控文件的类别；</w:t>
            </w:r>
          </w:p>
          <w:p w14:paraId="4BE495F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（2）对文件的编制和审批进行控制；</w:t>
            </w:r>
          </w:p>
          <w:p w14:paraId="1D2BB08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（3）明确文件的标识要求，对文件进行唯一性标识；</w:t>
            </w:r>
          </w:p>
          <w:p w14:paraId="739DAB9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（4）明确文件的发放范围，对发放过程进行控制；</w:t>
            </w:r>
          </w:p>
          <w:p w14:paraId="505AF32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（5）明确文件归档和保管；</w:t>
            </w:r>
          </w:p>
          <w:p w14:paraId="57C464C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（6）定期和不定期地对文件进行评审；</w:t>
            </w:r>
          </w:p>
          <w:p w14:paraId="5A8BCFE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（7）对文件更改进行控制；</w:t>
            </w:r>
          </w:p>
          <w:p w14:paraId="53CC5B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（8）对作废文件进行回收，明确作废文件的处置方式；</w:t>
            </w:r>
          </w:p>
          <w:p w14:paraId="71FEF55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lang w:val="en-US" w:eastAsia="zh-CN"/>
              </w:rPr>
              <w:t>9</w:t>
            </w:r>
            <w:r>
              <w:rPr>
                <w:rFonts w:hint="default" w:ascii="Times New Roman" w:hAnsi="Times New Roman" w:eastAsia="国标宋体" w:cs="Times New Roman"/>
                <w:snapToGrid w:val="0"/>
                <w:color w:val="auto"/>
                <w:spacing w:val="6"/>
                <w:szCs w:val="24"/>
                <w:lang w:eastAsia="zh-CN"/>
              </w:rPr>
              <w:t>）明确外来文件收集、标识、发放、保管、回收的规定。</w:t>
            </w:r>
          </w:p>
          <w:p w14:paraId="32C1CA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文件可以任何形式的媒介呈现。（延续单位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四年来</w:t>
            </w:r>
            <w:r>
              <w:rPr>
                <w:rFonts w:hint="default" w:ascii="Times New Roman" w:hAnsi="Times New Roman" w:eastAsia="国标宋体" w:cs="Times New Roman"/>
                <w:snapToGrid w:val="0"/>
                <w:color w:val="auto"/>
                <w:spacing w:val="6"/>
                <w:szCs w:val="24"/>
                <w:lang w:eastAsia="zh-CN"/>
              </w:rPr>
              <w:t>的运行记录）</w:t>
            </w:r>
          </w:p>
          <w:p w14:paraId="50BB9415">
            <w:pPr>
              <w:spacing w:line="240" w:lineRule="auto"/>
              <w:ind w:left="-120" w:leftChars="-50" w:firstLine="258"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编</w:t>
            </w:r>
            <w:r>
              <w:rPr>
                <w:rFonts w:hint="default" w:ascii="Times New Roman" w:hAnsi="Times New Roman" w:eastAsia="国标宋体" w:cs="Times New Roman"/>
                <w:snapToGrid w:val="0"/>
                <w:color w:val="auto"/>
                <w:spacing w:val="8"/>
                <w:szCs w:val="24"/>
              </w:rPr>
              <w:t>制、审核、批准的</w:t>
            </w:r>
            <w:r>
              <w:rPr>
                <w:rFonts w:hint="eastAsia" w:eastAsia="国标宋体" w:cs="Times New Roman"/>
                <w:snapToGrid w:val="0"/>
                <w:color w:val="auto"/>
                <w:spacing w:val="8"/>
                <w:szCs w:val="24"/>
                <w:lang w:eastAsia="zh-CN"/>
              </w:rPr>
              <w:t>见证资料</w:t>
            </w:r>
            <w:r>
              <w:rPr>
                <w:rFonts w:hint="default" w:ascii="Times New Roman" w:hAnsi="Times New Roman" w:eastAsia="国标宋体" w:cs="Times New Roman"/>
                <w:snapToGrid w:val="0"/>
                <w:color w:val="auto"/>
                <w:spacing w:val="8"/>
                <w:szCs w:val="24"/>
              </w:rPr>
              <w:t>；</w:t>
            </w:r>
          </w:p>
          <w:p w14:paraId="0D6C8180">
            <w:pPr>
              <w:spacing w:line="240" w:lineRule="auto"/>
              <w:ind w:left="-120" w:leftChars="-50" w:firstLine="254" w:firstLineChars="100"/>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7"/>
                <w:szCs w:val="24"/>
              </w:rPr>
              <w:t>发</w:t>
            </w:r>
            <w:r>
              <w:rPr>
                <w:rFonts w:hint="default" w:ascii="Times New Roman" w:hAnsi="Times New Roman" w:eastAsia="国标宋体" w:cs="Times New Roman"/>
                <w:snapToGrid w:val="0"/>
                <w:color w:val="auto"/>
                <w:spacing w:val="6"/>
                <w:szCs w:val="24"/>
              </w:rPr>
              <w:t>放的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60D2881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评审的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35BAB0A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修订的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1083133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回收、作废的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p w14:paraId="435A6F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外来文件控制的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lang w:eastAsia="zh-CN"/>
              </w:rPr>
              <w:t>；</w:t>
            </w:r>
          </w:p>
          <w:p w14:paraId="2B08B3E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highlight w:val="none"/>
                <w:lang w:val="en-US" w:eastAsia="zh-CN"/>
              </w:rPr>
              <w:t>受控文件清单（含外来文件）。</w:t>
            </w:r>
          </w:p>
        </w:tc>
      </w:tr>
      <w:tr w14:paraId="3DDC4F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23E2CE7">
            <w:pPr>
              <w:spacing w:line="240" w:lineRule="auto"/>
              <w:ind w:left="128"/>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r>
              <w:rPr>
                <w:rFonts w:hint="default" w:ascii="Times New Roman" w:hAnsi="Times New Roman" w:eastAsia="国标宋体" w:cs="Times New Roman"/>
                <w:snapToGrid w:val="0"/>
                <w:color w:val="auto"/>
                <w:szCs w:val="24"/>
                <w:lang w:val="en-US" w:eastAsia="zh-CN"/>
              </w:rPr>
              <w:t>6</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p>
        </w:tc>
        <w:tc>
          <w:tcPr>
            <w:tcW w:w="3569" w:type="pct"/>
            <w:vAlign w:val="center"/>
          </w:tcPr>
          <w:p w14:paraId="62CE2F3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和实施</w:t>
            </w:r>
            <w:r>
              <w:rPr>
                <w:rFonts w:hint="default" w:ascii="Times New Roman" w:hAnsi="Times New Roman" w:eastAsia="国标宋体" w:cs="Times New Roman"/>
                <w:snapToGrid w:val="0"/>
                <w:color w:val="auto"/>
                <w:spacing w:val="6"/>
                <w:szCs w:val="24"/>
              </w:rPr>
              <w:t>的记录（信息）</w:t>
            </w:r>
            <w:r>
              <w:rPr>
                <w:rFonts w:hint="default" w:ascii="Times New Roman" w:hAnsi="Times New Roman" w:eastAsia="国标宋体" w:cs="Times New Roman"/>
                <w:snapToGrid w:val="0"/>
                <w:color w:val="auto"/>
                <w:spacing w:val="6"/>
                <w:szCs w:val="24"/>
                <w:lang w:eastAsia="zh-CN"/>
              </w:rPr>
              <w:t>控制程序</w:t>
            </w:r>
            <w:r>
              <w:rPr>
                <w:rFonts w:hint="default" w:ascii="Times New Roman" w:hAnsi="Times New Roman" w:eastAsia="国标宋体" w:cs="Times New Roman"/>
                <w:snapToGrid w:val="0"/>
                <w:color w:val="auto"/>
                <w:spacing w:val="6"/>
                <w:szCs w:val="24"/>
              </w:rPr>
              <w:t>。</w:t>
            </w:r>
          </w:p>
          <w:p w14:paraId="03C8CE6D">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zCs w:val="24"/>
              </w:rPr>
              <w:t>记录</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信息</w:t>
            </w:r>
            <w:r>
              <w:rPr>
                <w:rFonts w:hint="default" w:ascii="Times New Roman" w:hAnsi="Times New Roman" w:eastAsia="国标宋体" w:cs="Times New Roman"/>
                <w:snapToGrid w:val="0"/>
                <w:color w:val="auto"/>
                <w:szCs w:val="24"/>
                <w:lang w:eastAsia="zh-CN"/>
              </w:rPr>
              <w:t>）</w:t>
            </w:r>
            <w:r>
              <w:rPr>
                <w:rFonts w:hint="default" w:ascii="Times New Roman" w:hAnsi="Times New Roman" w:eastAsia="国标宋体" w:cs="Times New Roman"/>
                <w:snapToGrid w:val="0"/>
                <w:color w:val="auto"/>
                <w:szCs w:val="24"/>
              </w:rPr>
              <w:t>控制</w:t>
            </w:r>
            <w:r>
              <w:rPr>
                <w:rFonts w:hint="default" w:ascii="Times New Roman" w:hAnsi="Times New Roman" w:eastAsia="国标宋体" w:cs="Times New Roman"/>
                <w:snapToGrid w:val="0"/>
                <w:color w:val="auto"/>
                <w:spacing w:val="6"/>
                <w:szCs w:val="24"/>
                <w:lang w:eastAsia="zh-CN"/>
              </w:rPr>
              <w:t>运行记录和检验记录</w:t>
            </w:r>
            <w:r>
              <w:rPr>
                <w:rFonts w:hint="default" w:ascii="Times New Roman" w:hAnsi="Times New Roman" w:eastAsia="国标宋体" w:cs="Times New Roman"/>
                <w:snapToGrid w:val="0"/>
                <w:color w:val="auto"/>
                <w:spacing w:val="6"/>
                <w:szCs w:val="24"/>
              </w:rPr>
              <w:t>。</w:t>
            </w:r>
          </w:p>
        </w:tc>
      </w:tr>
      <w:tr w14:paraId="78980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2646B7F">
            <w:pPr>
              <w:spacing w:line="240" w:lineRule="auto"/>
              <w:ind w:left="120" w:leftChars="50"/>
              <w:rPr>
                <w:rFonts w:hint="default" w:ascii="Times New Roman" w:hAnsi="Times New Roman" w:eastAsia="国标宋体" w:cs="Times New Roman"/>
                <w:snapToGrid w:val="0"/>
                <w:color w:val="auto"/>
                <w:spacing w:val="11"/>
                <w:szCs w:val="21"/>
              </w:rPr>
            </w:pPr>
            <w:r>
              <w:rPr>
                <w:rFonts w:hint="default" w:ascii="Times New Roman" w:hAnsi="Times New Roman" w:eastAsia="国标宋体" w:cs="Times New Roman"/>
                <w:snapToGrid w:val="0"/>
                <w:color w:val="auto"/>
                <w:szCs w:val="24"/>
              </w:rPr>
              <w:t>2 管理职责</w:t>
            </w:r>
          </w:p>
        </w:tc>
      </w:tr>
      <w:tr w14:paraId="0A089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B0BCA0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2.1 质量方针</w:t>
            </w:r>
          </w:p>
        </w:tc>
        <w:tc>
          <w:tcPr>
            <w:tcW w:w="3569" w:type="pct"/>
            <w:vAlign w:val="center"/>
          </w:tcPr>
          <w:p w14:paraId="1831281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最高管理者策划和制定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质量方针。质量方针与机构的宗旨与性质相适应，并且满足政府和客户的要求，质量方针应当体现对特种设备安全的承诺。</w:t>
            </w:r>
          </w:p>
        </w:tc>
      </w:tr>
      <w:tr w14:paraId="3C63B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78CC11D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2.2 质量目标</w:t>
            </w:r>
          </w:p>
        </w:tc>
        <w:tc>
          <w:tcPr>
            <w:tcW w:w="3569" w:type="pct"/>
            <w:vAlign w:val="center"/>
          </w:tcPr>
          <w:p w14:paraId="13F9A880">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最高管理者制定</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与质量方针相适应的质量目标。质量目标应当能够量化、分解和考核。</w:t>
            </w:r>
          </w:p>
          <w:p w14:paraId="61072B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质量目标考核办法。</w:t>
            </w:r>
          </w:p>
          <w:p w14:paraId="3B7596F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年来质量目标分解记录、考核记录。</w:t>
            </w:r>
            <w:r>
              <w:rPr>
                <w:rFonts w:hint="default" w:ascii="Times New Roman" w:hAnsi="Times New Roman" w:eastAsia="国标宋体" w:cs="Times New Roman"/>
                <w:snapToGrid w:val="0"/>
                <w:color w:val="auto"/>
                <w:spacing w:val="6"/>
                <w:szCs w:val="24"/>
                <w:lang w:eastAsia="zh-CN"/>
              </w:rPr>
              <w:t>）</w:t>
            </w:r>
          </w:p>
        </w:tc>
      </w:tr>
      <w:tr w14:paraId="2C2654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F84C95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2.3 组织结构及职责</w:t>
            </w:r>
          </w:p>
        </w:tc>
        <w:tc>
          <w:tcPr>
            <w:tcW w:w="3569" w:type="pct"/>
            <w:vAlign w:val="center"/>
          </w:tcPr>
          <w:p w14:paraId="475E0117">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最高管理者策划</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机构内部行政管理和质量管理的组织结构，明确对检验质量有影响的部门与岗位的职责和相互关系</w:t>
            </w:r>
            <w:r>
              <w:rPr>
                <w:rFonts w:hint="default" w:ascii="Times New Roman" w:hAnsi="Times New Roman" w:eastAsia="国标宋体" w:cs="Times New Roman"/>
                <w:snapToGrid w:val="0"/>
                <w:color w:val="auto"/>
                <w:spacing w:val="6"/>
                <w:szCs w:val="24"/>
                <w:lang w:eastAsia="zh-CN"/>
              </w:rPr>
              <w:t>：</w:t>
            </w:r>
          </w:p>
          <w:p w14:paraId="5064164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配备技术负责人，全面负责检验机构的技术管理，技术负责人可以设置为技术管理层，在不同的专业技术领域可以设置不同的技术负责人，但是应当明确其职责及分工</w:t>
            </w:r>
            <w:r>
              <w:rPr>
                <w:rFonts w:hint="default" w:ascii="Times New Roman" w:hAnsi="Times New Roman" w:eastAsia="国标宋体" w:cs="Times New Roman"/>
                <w:snapToGrid w:val="0"/>
                <w:color w:val="auto"/>
                <w:spacing w:val="6"/>
                <w:szCs w:val="24"/>
                <w:lang w:eastAsia="zh-CN"/>
              </w:rPr>
              <w:t>；</w:t>
            </w:r>
          </w:p>
          <w:p w14:paraId="2D751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配备质量负责人，全面负责质量管理体系的实施和保持，并且有直接渠道向最高管理者报告质量管理体系的业绩和改进的建议</w:t>
            </w:r>
            <w:r>
              <w:rPr>
                <w:rFonts w:hint="default" w:ascii="Times New Roman" w:hAnsi="Times New Roman" w:eastAsia="国标宋体" w:cs="Times New Roman"/>
                <w:snapToGrid w:val="0"/>
                <w:color w:val="auto"/>
                <w:spacing w:val="6"/>
                <w:szCs w:val="24"/>
                <w:lang w:eastAsia="zh-CN"/>
              </w:rPr>
              <w:t>；</w:t>
            </w:r>
          </w:p>
          <w:p w14:paraId="3849963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按照检验的专业或者项目配备责任师，协助技术负责人和质量负责人对专业或者项目的检验技术、质量进行管理和控制。</w:t>
            </w:r>
          </w:p>
        </w:tc>
      </w:tr>
      <w:tr w14:paraId="5284B5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5DACEA6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2.4 管理评审</w:t>
            </w:r>
          </w:p>
        </w:tc>
        <w:tc>
          <w:tcPr>
            <w:tcW w:w="3569" w:type="pct"/>
            <w:vAlign w:val="center"/>
          </w:tcPr>
          <w:p w14:paraId="740CCEBF">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管理评审控制程序，最高管理者应当定期组织管理评审，以确保质量管理体系的适宜性、充分性和有效性。管理评审通常每年至少进行一次</w:t>
            </w:r>
            <w:r>
              <w:rPr>
                <w:rFonts w:hint="eastAsia" w:eastAsia="国标宋体" w:cs="Times New Roman"/>
                <w:snapToGrid w:val="0"/>
                <w:color w:val="auto"/>
                <w:spacing w:val="6"/>
                <w:szCs w:val="24"/>
                <w:lang w:eastAsia="zh-CN"/>
              </w:rPr>
              <w:t>。</w:t>
            </w:r>
          </w:p>
          <w:p w14:paraId="3BCB171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年来管理评审</w:t>
            </w:r>
            <w:r>
              <w:rPr>
                <w:rFonts w:hint="default" w:ascii="Times New Roman" w:hAnsi="Times New Roman" w:eastAsia="国标宋体" w:cs="Times New Roman"/>
                <w:snapToGrid w:val="0"/>
                <w:color w:val="auto"/>
                <w:spacing w:val="6"/>
                <w:szCs w:val="24"/>
                <w:lang w:eastAsia="zh-CN"/>
              </w:rPr>
              <w:t>运行</w:t>
            </w:r>
            <w:r>
              <w:rPr>
                <w:rFonts w:hint="default" w:ascii="Times New Roman" w:hAnsi="Times New Roman" w:eastAsia="国标宋体" w:cs="Times New Roman"/>
                <w:snapToGrid w:val="0"/>
                <w:color w:val="auto"/>
                <w:spacing w:val="6"/>
                <w:szCs w:val="24"/>
              </w:rPr>
              <w:t>记录。</w:t>
            </w:r>
            <w:r>
              <w:rPr>
                <w:rFonts w:hint="default" w:ascii="Times New Roman" w:hAnsi="Times New Roman" w:eastAsia="国标宋体" w:cs="Times New Roman"/>
                <w:snapToGrid w:val="0"/>
                <w:color w:val="auto"/>
                <w:spacing w:val="6"/>
                <w:szCs w:val="24"/>
                <w:lang w:eastAsia="zh-CN"/>
              </w:rPr>
              <w:t>）</w:t>
            </w:r>
          </w:p>
        </w:tc>
      </w:tr>
      <w:tr w14:paraId="694BF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05282D1C">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6CBC7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输入文件。</w:t>
            </w:r>
          </w:p>
        </w:tc>
      </w:tr>
      <w:tr w14:paraId="643372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continue"/>
            <w:vAlign w:val="center"/>
          </w:tcPr>
          <w:p w14:paraId="5F1D468E">
            <w:pPr>
              <w:spacing w:line="240" w:lineRule="auto"/>
              <w:ind w:left="132" w:right="118"/>
              <w:rPr>
                <w:rFonts w:hint="default" w:ascii="Times New Roman" w:hAnsi="Times New Roman" w:eastAsia="国标宋体" w:cs="Times New Roman"/>
                <w:snapToGrid w:val="0"/>
                <w:color w:val="auto"/>
                <w:spacing w:val="6"/>
                <w:szCs w:val="21"/>
              </w:rPr>
            </w:pPr>
          </w:p>
        </w:tc>
        <w:tc>
          <w:tcPr>
            <w:tcW w:w="3569" w:type="pct"/>
            <w:vAlign w:val="center"/>
          </w:tcPr>
          <w:p w14:paraId="79586B9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正式发布后</w:t>
            </w:r>
            <w:r>
              <w:rPr>
                <w:rFonts w:hint="default" w:ascii="Times New Roman" w:hAnsi="Times New Roman" w:eastAsia="国标宋体" w:cs="Times New Roman"/>
                <w:snapToGrid w:val="0"/>
                <w:color w:val="auto"/>
                <w:spacing w:val="6"/>
                <w:szCs w:val="24"/>
              </w:rPr>
              <w:t>的管理评审控制</w:t>
            </w:r>
            <w:r>
              <w:rPr>
                <w:rFonts w:hint="default" w:ascii="Times New Roman" w:hAnsi="Times New Roman" w:eastAsia="国标宋体" w:cs="Times New Roman"/>
                <w:snapToGrid w:val="0"/>
                <w:color w:val="auto"/>
                <w:spacing w:val="6"/>
                <w:szCs w:val="24"/>
                <w:lang w:eastAsia="zh-CN"/>
              </w:rPr>
              <w:t>输出文件。</w:t>
            </w:r>
          </w:p>
        </w:tc>
      </w:tr>
      <w:tr w14:paraId="46458E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B915338">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2.5其他职责</w:t>
            </w:r>
          </w:p>
        </w:tc>
        <w:tc>
          <w:tcPr>
            <w:tcW w:w="3569" w:type="pct"/>
            <w:vAlign w:val="center"/>
          </w:tcPr>
          <w:p w14:paraId="1D66D2B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正式发布后的</w:t>
            </w:r>
            <w:r>
              <w:rPr>
                <w:rFonts w:hint="default" w:ascii="Times New Roman" w:hAnsi="Times New Roman" w:eastAsia="国标宋体" w:cs="Times New Roman"/>
                <w:snapToGrid w:val="0"/>
                <w:color w:val="auto"/>
                <w:spacing w:val="6"/>
                <w:szCs w:val="24"/>
                <w:lang w:val="en-US" w:eastAsia="zh-CN"/>
              </w:rPr>
              <w:t>其他职责文件，</w:t>
            </w:r>
            <w:r>
              <w:rPr>
                <w:rFonts w:hint="default" w:ascii="Times New Roman" w:hAnsi="Times New Roman" w:eastAsia="国标宋体" w:cs="Times New Roman"/>
                <w:snapToGrid w:val="0"/>
                <w:color w:val="auto"/>
                <w:spacing w:val="6"/>
                <w:szCs w:val="24"/>
                <w:lang w:eastAsia="zh-CN"/>
              </w:rPr>
              <w:t>包含：</w:t>
            </w:r>
          </w:p>
          <w:p w14:paraId="6A0DE7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（1）传达国家有关的法律、法规、规章、安全技术规范及相关标准，履行法律、法规所赋予的职责，满足政府与客户要求；</w:t>
            </w:r>
          </w:p>
          <w:p w14:paraId="26BD52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（2）确保检验活动获得必要的资源；</w:t>
            </w:r>
          </w:p>
          <w:p w14:paraId="1BF153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（3）建立、实施和持续改进质量管理体系；</w:t>
            </w:r>
          </w:p>
          <w:p w14:paraId="56F2DE0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（4）确保检验机构在核准的范围内从事检验工作；</w:t>
            </w:r>
          </w:p>
          <w:p w14:paraId="36BAB1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（5）接受市场监管部门的监督。</w:t>
            </w:r>
          </w:p>
        </w:tc>
      </w:tr>
      <w:tr w14:paraId="02A52B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0E9412B3">
            <w:pPr>
              <w:spacing w:line="240" w:lineRule="auto"/>
              <w:ind w:left="116"/>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12"/>
                <w:szCs w:val="24"/>
              </w:rPr>
              <w:t>3</w:t>
            </w:r>
            <w:r>
              <w:rPr>
                <w:rFonts w:hint="default" w:ascii="Times New Roman" w:hAnsi="Times New Roman" w:eastAsia="国标宋体" w:cs="Times New Roman"/>
                <w:snapToGrid w:val="0"/>
                <w:color w:val="auto"/>
                <w:spacing w:val="6"/>
                <w:szCs w:val="24"/>
              </w:rPr>
              <w:t xml:space="preserve"> 资源配置</w:t>
            </w:r>
          </w:p>
        </w:tc>
      </w:tr>
      <w:tr w14:paraId="232AE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66069E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3.1 人员管理</w:t>
            </w:r>
          </w:p>
        </w:tc>
        <w:tc>
          <w:tcPr>
            <w:tcW w:w="3569" w:type="pct"/>
            <w:vAlign w:val="center"/>
          </w:tcPr>
          <w:p w14:paraId="0B6316C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eastAsia" w:eastAsia="国标宋体" w:cs="Times New Roman"/>
                <w:snapToGrid w:val="0"/>
                <w:color w:val="auto"/>
                <w:spacing w:val="6"/>
                <w:szCs w:val="24"/>
                <w:lang w:eastAsia="zh-CN"/>
              </w:rPr>
              <w:t>的人员</w:t>
            </w:r>
            <w:r>
              <w:rPr>
                <w:rFonts w:hint="default" w:ascii="Times New Roman" w:hAnsi="Times New Roman" w:eastAsia="国标宋体" w:cs="Times New Roman"/>
                <w:snapToGrid w:val="0"/>
                <w:color w:val="auto"/>
                <w:spacing w:val="6"/>
                <w:szCs w:val="24"/>
              </w:rPr>
              <w:t>控制程序</w:t>
            </w:r>
            <w:r>
              <w:rPr>
                <w:rFonts w:hint="eastAsia"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对与检验与检测有关的管理人员、关键岗位人员</w:t>
            </w:r>
            <w:r>
              <w:rPr>
                <w:rFonts w:hint="eastAsia" w:eastAsia="国标宋体" w:cs="Times New Roman"/>
                <w:snapToGrid w:val="0"/>
                <w:color w:val="auto"/>
                <w:spacing w:val="6"/>
                <w:szCs w:val="24"/>
                <w:lang w:eastAsia="zh-CN"/>
              </w:rPr>
              <w:t>、检验</w:t>
            </w:r>
            <w:r>
              <w:rPr>
                <w:rFonts w:hint="default" w:ascii="Times New Roman" w:hAnsi="Times New Roman" w:eastAsia="国标宋体" w:cs="Times New Roman"/>
                <w:snapToGrid w:val="0"/>
                <w:color w:val="auto"/>
                <w:spacing w:val="6"/>
                <w:szCs w:val="24"/>
              </w:rPr>
              <w:t>与检测人员、专业技术人员和其他岗位人员的管理应当达到以下要求</w:t>
            </w:r>
            <w:r>
              <w:rPr>
                <w:rFonts w:hint="default" w:ascii="Times New Roman" w:hAnsi="Times New Roman" w:eastAsia="国标宋体" w:cs="Times New Roman"/>
                <w:snapToGrid w:val="0"/>
                <w:color w:val="auto"/>
                <w:spacing w:val="6"/>
                <w:szCs w:val="24"/>
                <w:lang w:eastAsia="zh-CN"/>
              </w:rPr>
              <w:t>：</w:t>
            </w:r>
          </w:p>
          <w:p w14:paraId="305CBC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配备满足检验与检测工作需要的人员，并且与其履行合法的聘用手续</w:t>
            </w:r>
            <w:r>
              <w:rPr>
                <w:rFonts w:hint="default" w:ascii="Times New Roman" w:hAnsi="Times New Roman" w:eastAsia="国标宋体" w:cs="Times New Roman"/>
                <w:snapToGrid w:val="0"/>
                <w:color w:val="auto"/>
                <w:spacing w:val="6"/>
                <w:szCs w:val="24"/>
                <w:lang w:eastAsia="zh-CN"/>
              </w:rPr>
              <w:t>；</w:t>
            </w:r>
          </w:p>
          <w:p w14:paraId="11FB455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明确岗位职责和任职条件，并且对人员任职资格和能力进行确认</w:t>
            </w:r>
            <w:r>
              <w:rPr>
                <w:rFonts w:hint="default" w:ascii="Times New Roman" w:hAnsi="Times New Roman" w:eastAsia="国标宋体" w:cs="Times New Roman"/>
                <w:snapToGrid w:val="0"/>
                <w:color w:val="auto"/>
                <w:spacing w:val="6"/>
                <w:szCs w:val="24"/>
                <w:lang w:eastAsia="zh-CN"/>
              </w:rPr>
              <w:t>；</w:t>
            </w:r>
          </w:p>
          <w:p w14:paraId="7BBAC5A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人员进行技术和质量管理培训，制定和实施内部与外部培训计划，明确培训方式和方法，并且对培训效果进行评价。其中，技术负责人、质量负责人、内部审核人员和其他从事质量管理的人员，应当接受过特种设备质量管理体系知识的专门培训</w:t>
            </w:r>
            <w:r>
              <w:rPr>
                <w:rFonts w:hint="default" w:ascii="Times New Roman" w:hAnsi="Times New Roman" w:eastAsia="国标宋体" w:cs="Times New Roman"/>
                <w:snapToGrid w:val="0"/>
                <w:color w:val="auto"/>
                <w:spacing w:val="6"/>
                <w:szCs w:val="24"/>
                <w:lang w:eastAsia="zh-CN"/>
              </w:rPr>
              <w:t>；</w:t>
            </w:r>
          </w:p>
          <w:p w14:paraId="787DE4F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对人员进行定期或者不定期的考核评价</w:t>
            </w:r>
            <w:r>
              <w:rPr>
                <w:rFonts w:hint="default" w:ascii="Times New Roman" w:hAnsi="Times New Roman" w:eastAsia="国标宋体" w:cs="Times New Roman"/>
                <w:snapToGrid w:val="0"/>
                <w:color w:val="auto"/>
                <w:spacing w:val="6"/>
                <w:szCs w:val="24"/>
                <w:lang w:eastAsia="zh-CN"/>
              </w:rPr>
              <w:t>；</w:t>
            </w:r>
          </w:p>
          <w:p w14:paraId="7375900C">
            <w:pPr>
              <w:spacing w:line="240" w:lineRule="auto"/>
              <w:ind w:left="132" w:right="118"/>
              <w:rPr>
                <w:rFonts w:hint="eastAsia"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建立人员执业档案，</w:t>
            </w:r>
            <w:r>
              <w:rPr>
                <w:rFonts w:hint="eastAsia" w:eastAsia="国标宋体" w:cs="Times New Roman"/>
                <w:snapToGrid w:val="0"/>
                <w:color w:val="auto"/>
                <w:spacing w:val="6"/>
                <w:szCs w:val="24"/>
                <w:lang w:eastAsia="zh-CN"/>
              </w:rPr>
              <w:t>内容包括学历、职称、职业资格证书、培训经历、检验检测经历、考核评价结果等。</w:t>
            </w:r>
          </w:p>
          <w:p w14:paraId="536CFD0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10"/>
                <w:szCs w:val="24"/>
              </w:rPr>
              <w:t>检验与检测人员配置表</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职工的聘用合同</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培训记录</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p w14:paraId="22EC20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default" w:ascii="Times New Roman" w:hAnsi="Times New Roman" w:eastAsia="国标宋体" w:cs="Times New Roman"/>
                <w:snapToGrid w:val="0"/>
                <w:color w:val="auto"/>
                <w:spacing w:val="6"/>
                <w:szCs w:val="24"/>
              </w:rPr>
              <w:t>近4年来人员培训计划、培训记录</w:t>
            </w:r>
            <w:r>
              <w:rPr>
                <w:rFonts w:hint="default" w:ascii="Times New Roman" w:hAnsi="Times New Roman" w:eastAsia="国标宋体" w:cs="Times New Roman"/>
                <w:snapToGrid w:val="0"/>
                <w:color w:val="auto"/>
                <w:spacing w:val="6"/>
                <w:szCs w:val="24"/>
                <w:lang w:eastAsia="zh-CN"/>
              </w:rPr>
              <w:t>、考核记录、</w:t>
            </w:r>
            <w:r>
              <w:rPr>
                <w:rFonts w:hint="default" w:ascii="Times New Roman" w:hAnsi="Times New Roman" w:eastAsia="国标宋体" w:cs="Times New Roman"/>
                <w:snapToGrid w:val="0"/>
                <w:color w:val="auto"/>
                <w:spacing w:val="6"/>
                <w:szCs w:val="24"/>
              </w:rPr>
              <w:t>人员档案</w:t>
            </w:r>
            <w:r>
              <w:rPr>
                <w:rFonts w:hint="default" w:ascii="Times New Roman" w:hAnsi="Times New Roman" w:eastAsia="国标宋体" w:cs="Times New Roman"/>
                <w:snapToGrid w:val="0"/>
                <w:color w:val="auto"/>
                <w:spacing w:val="6"/>
                <w:szCs w:val="24"/>
                <w:lang w:eastAsia="zh-CN"/>
              </w:rPr>
              <w:t>）</w:t>
            </w:r>
          </w:p>
        </w:tc>
      </w:tr>
      <w:tr w14:paraId="5CAB2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8A23F1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3.2 检验设备控制程序建立</w:t>
            </w:r>
          </w:p>
        </w:tc>
        <w:tc>
          <w:tcPr>
            <w:tcW w:w="3569" w:type="pct"/>
            <w:vAlign w:val="center"/>
          </w:tcPr>
          <w:p w14:paraId="7A8F493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检验设备控制程序，并且达到以下要求</w:t>
            </w:r>
            <w:r>
              <w:rPr>
                <w:rFonts w:hint="default" w:ascii="Times New Roman" w:hAnsi="Times New Roman" w:eastAsia="国标宋体" w:cs="Times New Roman"/>
                <w:snapToGrid w:val="0"/>
                <w:color w:val="auto"/>
                <w:spacing w:val="6"/>
                <w:szCs w:val="24"/>
                <w:lang w:eastAsia="zh-CN"/>
              </w:rPr>
              <w:t>：</w:t>
            </w:r>
          </w:p>
          <w:p w14:paraId="4D1EEE2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明确检验设备采购技术要求，并且对采购的检验设备进行验收</w:t>
            </w:r>
            <w:r>
              <w:rPr>
                <w:rFonts w:hint="default" w:ascii="Times New Roman" w:hAnsi="Times New Roman" w:eastAsia="国标宋体" w:cs="Times New Roman"/>
                <w:snapToGrid w:val="0"/>
                <w:color w:val="auto"/>
                <w:spacing w:val="6"/>
                <w:szCs w:val="24"/>
                <w:lang w:eastAsia="zh-CN"/>
              </w:rPr>
              <w:t>；</w:t>
            </w:r>
          </w:p>
          <w:p w14:paraId="05D98DE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配置满足检验工作需要的检验设备，建立检验设备台账，规定检验设备的唯一性标识和状态标识</w:t>
            </w:r>
            <w:r>
              <w:rPr>
                <w:rFonts w:hint="default" w:ascii="Times New Roman" w:hAnsi="Times New Roman" w:eastAsia="国标宋体" w:cs="Times New Roman"/>
                <w:snapToGrid w:val="0"/>
                <w:color w:val="auto"/>
                <w:spacing w:val="6"/>
                <w:szCs w:val="24"/>
                <w:lang w:eastAsia="zh-CN"/>
              </w:rPr>
              <w:t>；</w:t>
            </w:r>
          </w:p>
          <w:p w14:paraId="31E6855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检验设备应当有适宜的保存条件</w:t>
            </w:r>
            <w:r>
              <w:rPr>
                <w:rFonts w:hint="default" w:ascii="Times New Roman" w:hAnsi="Times New Roman" w:eastAsia="国标宋体" w:cs="Times New Roman"/>
                <w:snapToGrid w:val="0"/>
                <w:color w:val="auto"/>
                <w:spacing w:val="6"/>
                <w:szCs w:val="24"/>
                <w:lang w:eastAsia="zh-CN"/>
              </w:rPr>
              <w:t>；</w:t>
            </w:r>
          </w:p>
          <w:p w14:paraId="7019D7B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建立检验设备检定、校准和核查台账，制定检定、校准和核查计划，对检定</w:t>
            </w:r>
            <w:r>
              <w:rPr>
                <w:rFonts w:hint="default" w:ascii="Times New Roman" w:hAnsi="Times New Roman" w:eastAsia="国标宋体" w:cs="Times New Roman"/>
                <w:snapToGrid w:val="0"/>
                <w:color w:val="auto"/>
                <w:spacing w:val="6"/>
                <w:szCs w:val="24"/>
                <w:lang w:eastAsia="zh-CN"/>
              </w:rPr>
              <w:t>、校准</w:t>
            </w:r>
            <w:r>
              <w:rPr>
                <w:rFonts w:hint="default" w:ascii="Times New Roman" w:hAnsi="Times New Roman" w:eastAsia="国标宋体" w:cs="Times New Roman"/>
                <w:snapToGrid w:val="0"/>
                <w:color w:val="auto"/>
                <w:spacing w:val="6"/>
                <w:szCs w:val="24"/>
              </w:rPr>
              <w:t>和核查结果进行确认</w:t>
            </w:r>
            <w:r>
              <w:rPr>
                <w:rFonts w:hint="default" w:ascii="Times New Roman" w:hAnsi="Times New Roman" w:eastAsia="国标宋体" w:cs="Times New Roman"/>
                <w:snapToGrid w:val="0"/>
                <w:color w:val="auto"/>
                <w:spacing w:val="6"/>
                <w:szCs w:val="24"/>
                <w:lang w:eastAsia="zh-CN"/>
              </w:rPr>
              <w:t>；</w:t>
            </w:r>
          </w:p>
          <w:p w14:paraId="48B6A30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建立检验仪器操作规程，必要时，对使用人员进行培训和授权</w:t>
            </w:r>
            <w:r>
              <w:rPr>
                <w:rFonts w:hint="default" w:ascii="Times New Roman" w:hAnsi="Times New Roman" w:eastAsia="国标宋体" w:cs="Times New Roman"/>
                <w:snapToGrid w:val="0"/>
                <w:color w:val="auto"/>
                <w:spacing w:val="6"/>
                <w:szCs w:val="24"/>
                <w:lang w:eastAsia="zh-CN"/>
              </w:rPr>
              <w:t>；</w:t>
            </w:r>
          </w:p>
          <w:p w14:paraId="7EDCE7A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建立和实施检验设备的领用、状态确认、使用和归还记录</w:t>
            </w:r>
            <w:r>
              <w:rPr>
                <w:rFonts w:hint="default" w:ascii="Times New Roman" w:hAnsi="Times New Roman" w:eastAsia="国标宋体" w:cs="Times New Roman"/>
                <w:snapToGrid w:val="0"/>
                <w:color w:val="auto"/>
                <w:spacing w:val="6"/>
                <w:szCs w:val="24"/>
                <w:lang w:eastAsia="zh-CN"/>
              </w:rPr>
              <w:t>；</w:t>
            </w:r>
          </w:p>
          <w:p w14:paraId="191381C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检验设备出现异常状况时，应当停止使用，做出标识和处置，并且对之前检验结果的影响进行评价和处置</w:t>
            </w:r>
            <w:r>
              <w:rPr>
                <w:rFonts w:hint="default" w:ascii="Times New Roman" w:hAnsi="Times New Roman" w:eastAsia="国标宋体" w:cs="Times New Roman"/>
                <w:snapToGrid w:val="0"/>
                <w:color w:val="auto"/>
                <w:spacing w:val="6"/>
                <w:szCs w:val="24"/>
                <w:lang w:eastAsia="zh-CN"/>
              </w:rPr>
              <w:t>；</w:t>
            </w:r>
          </w:p>
          <w:p w14:paraId="3F64AC8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建立检验设备档案，包括出厂资料</w:t>
            </w:r>
            <w:r>
              <w:rPr>
                <w:rFonts w:hint="eastAsia"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采购验收记录</w:t>
            </w:r>
            <w:r>
              <w:rPr>
                <w:rFonts w:hint="eastAsia"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检定、校准和核查记录</w:t>
            </w:r>
            <w:r>
              <w:rPr>
                <w:rFonts w:hint="default" w:ascii="Times New Roman" w:hAnsi="Times New Roman" w:eastAsia="国标宋体" w:cs="Times New Roman"/>
                <w:snapToGrid w:val="0"/>
                <w:color w:val="auto"/>
                <w:spacing w:val="6"/>
                <w:szCs w:val="24"/>
                <w:lang w:eastAsia="zh-CN"/>
              </w:rPr>
              <w:t>、使用</w:t>
            </w:r>
            <w:r>
              <w:rPr>
                <w:rFonts w:hint="default" w:ascii="Times New Roman" w:hAnsi="Times New Roman" w:eastAsia="国标宋体" w:cs="Times New Roman"/>
                <w:snapToGrid w:val="0"/>
                <w:color w:val="auto"/>
                <w:spacing w:val="6"/>
                <w:szCs w:val="24"/>
              </w:rPr>
              <w:t>、维修和保养记录等。</w:t>
            </w:r>
          </w:p>
          <w:p w14:paraId="2D1F657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《检验设备配置表》</w:t>
            </w:r>
            <w:r>
              <w:rPr>
                <w:rFonts w:hint="default" w:ascii="Times New Roman" w:hAnsi="Times New Roman" w:eastAsia="国标宋体" w:cs="Times New Roman"/>
                <w:snapToGrid w:val="0"/>
                <w:color w:val="auto"/>
                <w:spacing w:val="6"/>
                <w:szCs w:val="24"/>
              </w:rPr>
              <w:t>、《检验设备检定/校准</w:t>
            </w:r>
            <w:r>
              <w:rPr>
                <w:rFonts w:hint="default" w:ascii="Times New Roman" w:hAnsi="Times New Roman" w:eastAsia="国标宋体" w:cs="Times New Roman"/>
                <w:snapToGrid w:val="0"/>
                <w:color w:val="auto"/>
                <w:spacing w:val="6"/>
                <w:szCs w:val="24"/>
                <w:lang w:eastAsia="zh-CN"/>
              </w:rPr>
              <w:t>台账</w:t>
            </w:r>
            <w:r>
              <w:rPr>
                <w:rFonts w:hint="default" w:ascii="Times New Roman" w:hAnsi="Times New Roman" w:eastAsia="国标宋体" w:cs="Times New Roman"/>
                <w:snapToGrid w:val="0"/>
                <w:color w:val="auto"/>
                <w:spacing w:val="6"/>
                <w:szCs w:val="24"/>
              </w:rPr>
              <w:t>》；</w:t>
            </w:r>
          </w:p>
          <w:p w14:paraId="4E9ECBB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近 4 年的检定/校准计划，检定/校准证书，核查记录；</w:t>
            </w:r>
          </w:p>
          <w:p w14:paraId="59EA448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检验设备档案；借用记录等。</w:t>
            </w:r>
          </w:p>
        </w:tc>
      </w:tr>
      <w:tr w14:paraId="124FB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9565F6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检验设施</w:t>
            </w:r>
            <w:r>
              <w:rPr>
                <w:rFonts w:hint="default" w:ascii="Times New Roman" w:hAnsi="Times New Roman" w:eastAsia="国标宋体" w:cs="Times New Roman"/>
                <w:snapToGrid w:val="0"/>
                <w:color w:val="auto"/>
                <w:spacing w:val="6"/>
                <w:szCs w:val="24"/>
                <w:lang w:eastAsia="zh-CN"/>
              </w:rPr>
              <w:t>管理</w:t>
            </w:r>
          </w:p>
        </w:tc>
        <w:tc>
          <w:tcPr>
            <w:tcW w:w="3569" w:type="pct"/>
            <w:vAlign w:val="center"/>
          </w:tcPr>
          <w:p w14:paraId="49FB6D8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正式发布后</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识别检验设施和环境条件的有关文件</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配置检验所需要的检验设施，明确、监督和记录检验环境条件，当检验设施和环境条件不满足要求时，应当停止检验。</w:t>
            </w:r>
          </w:p>
          <w:p w14:paraId="742B5B9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086563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7D58E97E">
            <w:pPr>
              <w:spacing w:line="240" w:lineRule="auto"/>
              <w:ind w:left="11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 检验实施</w:t>
            </w:r>
          </w:p>
        </w:tc>
      </w:tr>
      <w:tr w14:paraId="186221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0618789">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 xml:space="preserve">4.1 </w:t>
            </w:r>
            <w:r>
              <w:rPr>
                <w:rFonts w:hint="default" w:ascii="Times New Roman" w:hAnsi="Times New Roman" w:eastAsia="国标宋体" w:cs="Times New Roman"/>
                <w:snapToGrid w:val="0"/>
                <w:color w:val="auto"/>
                <w:spacing w:val="6"/>
                <w:szCs w:val="24"/>
                <w:lang w:eastAsia="zh-CN"/>
              </w:rPr>
              <w:t>检验任务</w:t>
            </w:r>
            <w:r>
              <w:rPr>
                <w:rFonts w:hint="default" w:ascii="Times New Roman" w:hAnsi="Times New Roman" w:eastAsia="国标宋体" w:cs="Times New Roman"/>
                <w:snapToGrid w:val="0"/>
                <w:color w:val="auto"/>
                <w:spacing w:val="6"/>
                <w:szCs w:val="24"/>
              </w:rPr>
              <w:t>控制</w:t>
            </w:r>
          </w:p>
        </w:tc>
        <w:tc>
          <w:tcPr>
            <w:tcW w:w="3569" w:type="pct"/>
            <w:vAlign w:val="center"/>
          </w:tcPr>
          <w:p w14:paraId="7B80909A">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检验任务控制程序；</w:t>
            </w:r>
          </w:p>
          <w:p w14:paraId="044F7E79">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明确检验任务的来源</w:t>
            </w:r>
            <w:r>
              <w:rPr>
                <w:rFonts w:hint="default" w:ascii="Times New Roman" w:hAnsi="Times New Roman" w:eastAsia="国标宋体" w:cs="Times New Roman"/>
                <w:snapToGrid w:val="0"/>
                <w:color w:val="auto"/>
                <w:spacing w:val="6"/>
                <w:szCs w:val="24"/>
                <w:lang w:eastAsia="zh-CN"/>
              </w:rPr>
              <w:t>；</w:t>
            </w:r>
          </w:p>
          <w:p w14:paraId="5EF293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明确检验任务接收方式及控制要求</w:t>
            </w:r>
            <w:r>
              <w:rPr>
                <w:rFonts w:hint="default" w:ascii="Times New Roman" w:hAnsi="Times New Roman" w:eastAsia="国标宋体" w:cs="Times New Roman"/>
                <w:snapToGrid w:val="0"/>
                <w:color w:val="auto"/>
                <w:spacing w:val="6"/>
                <w:szCs w:val="24"/>
                <w:lang w:eastAsia="zh-CN"/>
              </w:rPr>
              <w:t>；</w:t>
            </w:r>
          </w:p>
          <w:p w14:paraId="3AD3438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告知客户开展检验工作的条件</w:t>
            </w:r>
            <w:r>
              <w:rPr>
                <w:rFonts w:hint="default" w:ascii="Times New Roman" w:hAnsi="Times New Roman" w:eastAsia="国标宋体" w:cs="Times New Roman"/>
                <w:snapToGrid w:val="0"/>
                <w:color w:val="auto"/>
                <w:spacing w:val="6"/>
                <w:szCs w:val="24"/>
                <w:lang w:eastAsia="zh-CN"/>
              </w:rPr>
              <w:t>；</w:t>
            </w:r>
          </w:p>
          <w:p w14:paraId="6597554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明确合同评审的范围、内容和方式</w:t>
            </w:r>
            <w:r>
              <w:rPr>
                <w:rFonts w:hint="default" w:ascii="Times New Roman" w:hAnsi="Times New Roman" w:eastAsia="国标宋体" w:cs="Times New Roman"/>
                <w:snapToGrid w:val="0"/>
                <w:color w:val="auto"/>
                <w:spacing w:val="6"/>
                <w:szCs w:val="24"/>
                <w:lang w:eastAsia="zh-CN"/>
              </w:rPr>
              <w:t>。</w:t>
            </w:r>
          </w:p>
        </w:tc>
      </w:tr>
      <w:tr w14:paraId="3115C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0C8FE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4.2 工作指令控制</w:t>
            </w:r>
          </w:p>
        </w:tc>
        <w:tc>
          <w:tcPr>
            <w:tcW w:w="3569" w:type="pct"/>
            <w:vAlign w:val="center"/>
          </w:tcPr>
          <w:p w14:paraId="70BFE301">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工作指令控制程序，明确检验工作指令下达的方式及控制要求。</w:t>
            </w:r>
          </w:p>
          <w:p w14:paraId="46BCAD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按要求</w:t>
            </w:r>
            <w:r>
              <w:rPr>
                <w:rFonts w:hint="eastAsia" w:eastAsia="国标宋体" w:cs="Times New Roman"/>
                <w:snapToGrid w:val="0"/>
                <w:color w:val="auto"/>
                <w:spacing w:val="6"/>
                <w:szCs w:val="24"/>
                <w:lang w:eastAsia="zh-CN"/>
              </w:rPr>
              <w:t>核查见证资料</w:t>
            </w:r>
            <w:r>
              <w:rPr>
                <w:rFonts w:hint="default" w:ascii="Times New Roman" w:hAnsi="Times New Roman" w:eastAsia="国标宋体" w:cs="Times New Roman"/>
                <w:snapToGrid w:val="0"/>
                <w:color w:val="auto"/>
                <w:spacing w:val="6"/>
                <w:szCs w:val="24"/>
              </w:rPr>
              <w:t>。</w:t>
            </w:r>
          </w:p>
        </w:tc>
      </w:tr>
      <w:tr w14:paraId="5FBBD4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6FF4EDE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3</w:t>
            </w:r>
            <w:r>
              <w:rPr>
                <w:rFonts w:hint="default" w:ascii="Times New Roman" w:hAnsi="Times New Roman" w:eastAsia="国标宋体" w:cs="Times New Roman"/>
                <w:snapToGrid w:val="0"/>
                <w:color w:val="auto"/>
                <w:spacing w:val="6"/>
                <w:szCs w:val="24"/>
              </w:rPr>
              <w:t xml:space="preserve"> 检验方法控制</w:t>
            </w:r>
          </w:p>
        </w:tc>
        <w:tc>
          <w:tcPr>
            <w:tcW w:w="3569" w:type="pct"/>
            <w:vAlign w:val="center"/>
          </w:tcPr>
          <w:p w14:paraId="66B06D9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依据有关法律、法规、规章和安全技术规范实施检验</w:t>
            </w:r>
            <w:r>
              <w:rPr>
                <w:rFonts w:hint="default" w:ascii="Times New Roman" w:hAnsi="Times New Roman" w:eastAsia="国标宋体" w:cs="Times New Roman"/>
                <w:snapToGrid w:val="0"/>
                <w:color w:val="auto"/>
                <w:spacing w:val="6"/>
                <w:szCs w:val="24"/>
                <w:lang w:eastAsia="zh-CN"/>
              </w:rPr>
              <w:t>；</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eastAsia" w:ascii="Times New Roman" w:hAnsi="Times New Roman" w:eastAsia="国标宋体" w:cs="Times New Roman"/>
                <w:snapToGrid w:val="0"/>
                <w:color w:val="auto"/>
                <w:spacing w:val="6"/>
                <w:szCs w:val="24"/>
                <w:lang w:eastAsia="zh-CN"/>
              </w:rPr>
              <w:t>检验方法和控制程序</w:t>
            </w:r>
            <w:r>
              <w:rPr>
                <w:rFonts w:hint="eastAsia"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达到以下要求</w:t>
            </w:r>
            <w:r>
              <w:rPr>
                <w:rFonts w:hint="default" w:ascii="Times New Roman" w:hAnsi="Times New Roman" w:eastAsia="国标宋体" w:cs="Times New Roman"/>
                <w:snapToGrid w:val="0"/>
                <w:color w:val="auto"/>
                <w:spacing w:val="6"/>
                <w:szCs w:val="24"/>
                <w:lang w:eastAsia="zh-CN"/>
              </w:rPr>
              <w:t>：</w:t>
            </w:r>
          </w:p>
          <w:p w14:paraId="5F00B5D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使用有关法律、法规、规章和安全技术规范规定的检验方法</w:t>
            </w:r>
            <w:r>
              <w:rPr>
                <w:rFonts w:hint="default" w:ascii="Times New Roman" w:hAnsi="Times New Roman" w:eastAsia="国标宋体" w:cs="Times New Roman"/>
                <w:snapToGrid w:val="0"/>
                <w:color w:val="auto"/>
                <w:spacing w:val="6"/>
                <w:szCs w:val="24"/>
                <w:lang w:eastAsia="zh-CN"/>
              </w:rPr>
              <w:t>；</w:t>
            </w:r>
          </w:p>
          <w:p w14:paraId="7C89F5B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有关法律、法规、规章和安全技术规范中未规定检验方法的，选用成熟的、公认的检验方法，否则对选用的检验方法进行技术评审和验证</w:t>
            </w:r>
            <w:r>
              <w:rPr>
                <w:rFonts w:hint="default" w:ascii="Times New Roman" w:hAnsi="Times New Roman" w:eastAsia="国标宋体" w:cs="Times New Roman"/>
                <w:snapToGrid w:val="0"/>
                <w:color w:val="auto"/>
                <w:spacing w:val="6"/>
                <w:szCs w:val="24"/>
                <w:lang w:eastAsia="zh-CN"/>
              </w:rPr>
              <w:t>；</w:t>
            </w:r>
          </w:p>
          <w:p w14:paraId="6C2D475F">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当检验方法发生偏离时，履行允许偏离的审批手续。</w:t>
            </w:r>
          </w:p>
        </w:tc>
      </w:tr>
      <w:tr w14:paraId="58CF0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48E932EF">
            <w:pPr>
              <w:spacing w:line="240" w:lineRule="auto"/>
              <w:ind w:left="130" w:right="119"/>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val="en-US" w:eastAsia="zh-CN"/>
              </w:rPr>
              <w:t>4</w:t>
            </w:r>
            <w:r>
              <w:rPr>
                <w:rFonts w:hint="default" w:ascii="Times New Roman" w:hAnsi="Times New Roman" w:eastAsia="国标宋体" w:cs="Times New Roman"/>
                <w:snapToGrid w:val="0"/>
                <w:color w:val="auto"/>
                <w:spacing w:val="6"/>
                <w:szCs w:val="24"/>
              </w:rPr>
              <w:t xml:space="preserve"> 服务和供应品控制</w:t>
            </w:r>
          </w:p>
        </w:tc>
        <w:tc>
          <w:tcPr>
            <w:tcW w:w="3569" w:type="pct"/>
            <w:vAlign w:val="center"/>
          </w:tcPr>
          <w:p w14:paraId="1F0BBFCE">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服务及供应品控制程序，对影响检验质量的服务</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包括检验设备检定和校准服务、维修和维护保养等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和供应品</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包括软件、试块、耗材、标准物质等</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的管理达到以下要求</w:t>
            </w:r>
            <w:r>
              <w:rPr>
                <w:rFonts w:hint="default" w:ascii="Times New Roman" w:hAnsi="Times New Roman" w:eastAsia="国标宋体" w:cs="Times New Roman"/>
                <w:snapToGrid w:val="0"/>
                <w:color w:val="auto"/>
                <w:spacing w:val="6"/>
                <w:szCs w:val="24"/>
                <w:lang w:eastAsia="zh-CN"/>
              </w:rPr>
              <w:t>：</w:t>
            </w:r>
          </w:p>
          <w:p w14:paraId="31DB231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对服务方和供应方进行评价，建立合格服务方和供应方档案</w:t>
            </w:r>
            <w:r>
              <w:rPr>
                <w:rFonts w:hint="default" w:ascii="Times New Roman" w:hAnsi="Times New Roman" w:eastAsia="国标宋体" w:cs="Times New Roman"/>
                <w:snapToGrid w:val="0"/>
                <w:color w:val="auto"/>
                <w:spacing w:val="6"/>
                <w:szCs w:val="24"/>
                <w:lang w:eastAsia="zh-CN"/>
              </w:rPr>
              <w:t>；</w:t>
            </w:r>
          </w:p>
          <w:p w14:paraId="283013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对采购技术要求进行评审，履行审批手续</w:t>
            </w:r>
            <w:r>
              <w:rPr>
                <w:rFonts w:hint="default" w:ascii="Times New Roman" w:hAnsi="Times New Roman" w:eastAsia="国标宋体" w:cs="Times New Roman"/>
                <w:snapToGrid w:val="0"/>
                <w:color w:val="auto"/>
                <w:spacing w:val="6"/>
                <w:szCs w:val="24"/>
                <w:lang w:eastAsia="zh-CN"/>
              </w:rPr>
              <w:t>；</w:t>
            </w:r>
          </w:p>
          <w:p w14:paraId="123F3B0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对采购的服务和供应品进行验收</w:t>
            </w:r>
            <w:r>
              <w:rPr>
                <w:rFonts w:hint="default" w:ascii="Times New Roman" w:hAnsi="Times New Roman" w:eastAsia="国标宋体" w:cs="Times New Roman"/>
                <w:snapToGrid w:val="0"/>
                <w:color w:val="auto"/>
                <w:spacing w:val="6"/>
                <w:szCs w:val="24"/>
                <w:lang w:eastAsia="zh-CN"/>
              </w:rPr>
              <w:t>；</w:t>
            </w:r>
          </w:p>
          <w:p w14:paraId="5141DE0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对供应品进行适宜的储存。</w:t>
            </w:r>
          </w:p>
          <w:p w14:paraId="6C80311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合格供应（服务）方清单、合格供应（服务）方评价资料、采购计划、供应品验收记录等。</w:t>
            </w:r>
          </w:p>
        </w:tc>
      </w:tr>
      <w:tr w14:paraId="33AA48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shd w:val="clear" w:color="auto" w:fill="auto"/>
            <w:vAlign w:val="center"/>
          </w:tcPr>
          <w:p w14:paraId="5C36C07F">
            <w:pPr>
              <w:spacing w:line="240" w:lineRule="auto"/>
              <w:ind w:left="132" w:leftChars="0" w:right="118" w:rightChars="0"/>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lang w:val="en-US" w:eastAsia="zh-CN"/>
              </w:rPr>
              <w:t>4.5</w:t>
            </w:r>
            <w:r>
              <w:rPr>
                <w:rFonts w:hint="default" w:ascii="Times New Roman" w:hAnsi="Times New Roman" w:eastAsia="国标宋体" w:cs="Times New Roman"/>
                <w:snapToGrid w:val="0"/>
                <w:color w:val="auto"/>
                <w:spacing w:val="6"/>
                <w:szCs w:val="24"/>
              </w:rPr>
              <w:t xml:space="preserve"> 外委控制</w:t>
            </w:r>
          </w:p>
        </w:tc>
        <w:tc>
          <w:tcPr>
            <w:tcW w:w="3569" w:type="pct"/>
            <w:shd w:val="clear" w:color="auto" w:fill="auto"/>
            <w:vAlign w:val="center"/>
          </w:tcPr>
          <w:p w14:paraId="3FB6CF39">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rPr>
              <w:t>外委时，</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外委控制程序，明确包括业务、检验检测、质量技术、廉洁自律的外委管理和监督机制，并且达到如下要求</w:t>
            </w:r>
            <w:r>
              <w:rPr>
                <w:rFonts w:hint="default" w:ascii="Times New Roman" w:hAnsi="Times New Roman" w:eastAsia="国标宋体" w:cs="Times New Roman"/>
                <w:snapToGrid w:val="0"/>
                <w:color w:val="auto"/>
                <w:spacing w:val="6"/>
                <w:szCs w:val="24"/>
                <w:lang w:eastAsia="zh-CN"/>
              </w:rPr>
              <w:t>：</w:t>
            </w:r>
          </w:p>
          <w:p w14:paraId="05A80688">
            <w:pPr>
              <w:spacing w:line="240" w:lineRule="auto"/>
              <w:ind w:left="132" w:leftChars="0" w:right="118" w:rightChars="0"/>
              <w:rPr>
                <w:rFonts w:hint="default" w:ascii="Times New Roman" w:hAnsi="Times New Roman" w:eastAsia="国标宋体" w:cs="Times New Roman"/>
                <w:snapToGrid w:val="0"/>
                <w:color w:val="auto"/>
                <w:spacing w:val="6"/>
                <w:szCs w:val="24"/>
                <w:lang w:eastAsia="zh-CN"/>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1</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明确外委范围，明确外委实施的管理程序、人员职责、质量控制和廉洁自律要求，定期对外委工作实施情况进行内部审核</w:t>
            </w:r>
            <w:r>
              <w:rPr>
                <w:rFonts w:hint="default" w:ascii="Times New Roman" w:hAnsi="Times New Roman" w:eastAsia="国标宋体" w:cs="Times New Roman"/>
                <w:snapToGrid w:val="0"/>
                <w:color w:val="auto"/>
                <w:spacing w:val="6"/>
                <w:szCs w:val="24"/>
                <w:lang w:eastAsia="zh-CN"/>
              </w:rPr>
              <w:t>；</w:t>
            </w:r>
          </w:p>
          <w:p w14:paraId="75C31EA7">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2</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严格外委单位资格审查，确保其资质、能力和质量管理体系符合要求</w:t>
            </w:r>
            <w:r>
              <w:rPr>
                <w:rFonts w:hint="default" w:ascii="Times New Roman" w:hAnsi="Times New Roman" w:eastAsia="国标宋体" w:cs="Times New Roman"/>
                <w:snapToGrid w:val="0"/>
                <w:color w:val="auto"/>
                <w:spacing w:val="6"/>
                <w:szCs w:val="24"/>
                <w:lang w:eastAsia="zh-CN"/>
              </w:rPr>
              <w:t>；</w:t>
            </w:r>
          </w:p>
          <w:p w14:paraId="651D4C2F">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3</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建立外委方评价机制，对外委方的质量控制、服务能力、廉洁自律情况实施首次评价和年度评价，建立外委方档案并且及时更新</w:t>
            </w:r>
            <w:r>
              <w:rPr>
                <w:rFonts w:hint="default" w:ascii="Times New Roman" w:hAnsi="Times New Roman" w:eastAsia="国标宋体" w:cs="Times New Roman"/>
                <w:snapToGrid w:val="0"/>
                <w:color w:val="auto"/>
                <w:spacing w:val="6"/>
                <w:szCs w:val="24"/>
                <w:lang w:eastAsia="zh-CN"/>
              </w:rPr>
              <w:t>；</w:t>
            </w:r>
          </w:p>
          <w:p w14:paraId="71B67023">
            <w:pPr>
              <w:spacing w:line="240" w:lineRule="auto"/>
              <w:ind w:left="132" w:leftChars="0" w:right="118" w:rightChars="0"/>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4</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检验机构应当定期对外委方的工作质量、外委工作的廉洁自律情况进行监督和检查，现场检验负责人应当对现场外委工作进行管理和监督。</w:t>
            </w:r>
          </w:p>
        </w:tc>
      </w:tr>
      <w:tr w14:paraId="2E8173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0FCD35B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4.6 样品控制</w:t>
            </w:r>
          </w:p>
        </w:tc>
        <w:tc>
          <w:tcPr>
            <w:tcW w:w="3569" w:type="pct"/>
            <w:vAlign w:val="center"/>
          </w:tcPr>
          <w:p w14:paraId="7860D05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抽样及样品控制程序，并且达到以下要求</w:t>
            </w:r>
            <w:r>
              <w:rPr>
                <w:rFonts w:hint="default" w:ascii="Times New Roman" w:hAnsi="Times New Roman" w:eastAsia="国标宋体" w:cs="Times New Roman"/>
                <w:snapToGrid w:val="0"/>
                <w:color w:val="auto"/>
                <w:spacing w:val="6"/>
                <w:szCs w:val="24"/>
                <w:lang w:eastAsia="zh-CN"/>
              </w:rPr>
              <w:t>：</w:t>
            </w:r>
          </w:p>
          <w:p w14:paraId="70B4383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明确抽样及样品的管理对象及范围</w:t>
            </w:r>
            <w:r>
              <w:rPr>
                <w:rFonts w:hint="default" w:ascii="Times New Roman" w:hAnsi="Times New Roman" w:eastAsia="国标宋体" w:cs="Times New Roman"/>
                <w:snapToGrid w:val="0"/>
                <w:color w:val="auto"/>
                <w:spacing w:val="6"/>
                <w:szCs w:val="24"/>
                <w:lang w:eastAsia="zh-CN"/>
              </w:rPr>
              <w:t>；</w:t>
            </w:r>
          </w:p>
          <w:p w14:paraId="138FFBF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明确抽样的方式和方法，并且符合相关安全技术规范及相关标准</w:t>
            </w:r>
            <w:r>
              <w:rPr>
                <w:rFonts w:hint="default" w:ascii="Times New Roman" w:hAnsi="Times New Roman" w:eastAsia="国标宋体" w:cs="Times New Roman"/>
                <w:snapToGrid w:val="0"/>
                <w:color w:val="auto"/>
                <w:spacing w:val="6"/>
                <w:szCs w:val="24"/>
                <w:lang w:eastAsia="zh-CN"/>
              </w:rPr>
              <w:t>；</w:t>
            </w:r>
          </w:p>
          <w:p w14:paraId="1419A75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明确样品接收、保护、储存、留样、处置的规定</w:t>
            </w:r>
            <w:r>
              <w:rPr>
                <w:rFonts w:hint="default" w:ascii="Times New Roman" w:hAnsi="Times New Roman" w:eastAsia="国标宋体" w:cs="Times New Roman"/>
                <w:snapToGrid w:val="0"/>
                <w:color w:val="auto"/>
                <w:spacing w:val="6"/>
                <w:szCs w:val="24"/>
                <w:lang w:eastAsia="zh-CN"/>
              </w:rPr>
              <w:t>；</w:t>
            </w:r>
          </w:p>
          <w:p w14:paraId="43E83F9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建立样品台账，并且对样品进行唯一性标识。</w:t>
            </w:r>
          </w:p>
          <w:p w14:paraId="3B141798">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样品台账、样品委托单。</w:t>
            </w:r>
          </w:p>
        </w:tc>
      </w:tr>
      <w:tr w14:paraId="5F368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1390525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4.7 检验安全控制</w:t>
            </w:r>
          </w:p>
        </w:tc>
        <w:tc>
          <w:tcPr>
            <w:tcW w:w="3569" w:type="pct"/>
            <w:vAlign w:val="center"/>
          </w:tcPr>
          <w:p w14:paraId="4A94179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检验工作安全控制程序，并且达到以下要求</w:t>
            </w:r>
            <w:r>
              <w:rPr>
                <w:rFonts w:hint="default" w:ascii="Times New Roman" w:hAnsi="Times New Roman" w:eastAsia="国标宋体" w:cs="Times New Roman"/>
                <w:snapToGrid w:val="0"/>
                <w:color w:val="auto"/>
                <w:spacing w:val="6"/>
                <w:szCs w:val="24"/>
                <w:lang w:eastAsia="zh-CN"/>
              </w:rPr>
              <w:t>：</w:t>
            </w:r>
          </w:p>
          <w:p w14:paraId="6139E82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对检验过程中的危险源和潜在的风险进行识别、评估</w:t>
            </w:r>
            <w:r>
              <w:rPr>
                <w:rFonts w:hint="default" w:ascii="Times New Roman" w:hAnsi="Times New Roman" w:eastAsia="国标宋体" w:cs="Times New Roman"/>
                <w:snapToGrid w:val="0"/>
                <w:color w:val="auto"/>
                <w:spacing w:val="6"/>
                <w:szCs w:val="24"/>
                <w:lang w:eastAsia="zh-CN"/>
              </w:rPr>
              <w:t>；</w:t>
            </w:r>
          </w:p>
          <w:p w14:paraId="776B22A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制定和实施风险控制、应急措施</w:t>
            </w:r>
            <w:r>
              <w:rPr>
                <w:rFonts w:hint="default" w:ascii="Times New Roman" w:hAnsi="Times New Roman" w:eastAsia="国标宋体" w:cs="Times New Roman"/>
                <w:snapToGrid w:val="0"/>
                <w:color w:val="auto"/>
                <w:spacing w:val="6"/>
                <w:szCs w:val="24"/>
                <w:lang w:eastAsia="zh-CN"/>
              </w:rPr>
              <w:t>；</w:t>
            </w:r>
          </w:p>
          <w:p w14:paraId="3B0405E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定期评审风险控制措施，演练应急措施</w:t>
            </w:r>
            <w:r>
              <w:rPr>
                <w:rFonts w:hint="default" w:ascii="Times New Roman" w:hAnsi="Times New Roman" w:eastAsia="国标宋体" w:cs="Times New Roman"/>
                <w:snapToGrid w:val="0"/>
                <w:color w:val="auto"/>
                <w:spacing w:val="6"/>
                <w:szCs w:val="24"/>
                <w:lang w:eastAsia="zh-CN"/>
              </w:rPr>
              <w:t>；</w:t>
            </w:r>
          </w:p>
          <w:p w14:paraId="63AB556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对人员进行安全培训。</w:t>
            </w:r>
          </w:p>
          <w:p w14:paraId="4A32C5B6">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486629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854772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4.8 检验报告</w:t>
            </w:r>
            <w:r>
              <w:rPr>
                <w:rFonts w:hint="default" w:ascii="Times New Roman" w:hAnsi="Times New Roman" w:eastAsia="国标宋体" w:cs="Times New Roman"/>
                <w:snapToGrid w:val="0"/>
                <w:color w:val="auto"/>
                <w:spacing w:val="6"/>
                <w:szCs w:val="24"/>
                <w:lang w:eastAsia="zh-CN"/>
              </w:rPr>
              <w:t>（证书）</w:t>
            </w:r>
            <w:r>
              <w:rPr>
                <w:rFonts w:hint="default" w:ascii="Times New Roman" w:hAnsi="Times New Roman" w:eastAsia="国标宋体" w:cs="Times New Roman"/>
                <w:snapToGrid w:val="0"/>
                <w:color w:val="auto"/>
                <w:spacing w:val="6"/>
                <w:szCs w:val="24"/>
              </w:rPr>
              <w:t>控制</w:t>
            </w:r>
          </w:p>
        </w:tc>
        <w:tc>
          <w:tcPr>
            <w:tcW w:w="3569" w:type="pct"/>
            <w:vAlign w:val="center"/>
          </w:tcPr>
          <w:p w14:paraId="185DE36F">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控制程序，并且达到以下要求</w:t>
            </w:r>
            <w:r>
              <w:rPr>
                <w:rFonts w:hint="default" w:ascii="Times New Roman" w:hAnsi="Times New Roman" w:eastAsia="国标宋体" w:cs="Times New Roman"/>
                <w:snapToGrid w:val="0"/>
                <w:color w:val="auto"/>
                <w:spacing w:val="6"/>
                <w:szCs w:val="24"/>
                <w:lang w:eastAsia="zh-CN"/>
              </w:rPr>
              <w:t>：</w:t>
            </w:r>
          </w:p>
          <w:p w14:paraId="1275696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格式符合有关安全技术规范及相关标准的要求，涉及的信息齐全、完整</w:t>
            </w:r>
            <w:r>
              <w:rPr>
                <w:rFonts w:hint="default" w:ascii="Times New Roman" w:hAnsi="Times New Roman" w:eastAsia="国标宋体" w:cs="Times New Roman"/>
                <w:snapToGrid w:val="0"/>
                <w:color w:val="auto"/>
                <w:spacing w:val="6"/>
                <w:szCs w:val="24"/>
                <w:lang w:eastAsia="zh-CN"/>
              </w:rPr>
              <w:t>；</w:t>
            </w:r>
          </w:p>
          <w:p w14:paraId="13294553">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内容至少包括检验依据、结果和结论</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必要时，还包括对检验结论的解释和说明</w:t>
            </w:r>
            <w:r>
              <w:rPr>
                <w:rFonts w:hint="default" w:ascii="Times New Roman" w:hAnsi="Times New Roman" w:eastAsia="国标宋体" w:cs="Times New Roman"/>
                <w:snapToGrid w:val="0"/>
                <w:color w:val="auto"/>
                <w:spacing w:val="6"/>
                <w:szCs w:val="24"/>
                <w:lang w:eastAsia="zh-CN"/>
              </w:rPr>
              <w:t>；</w:t>
            </w:r>
          </w:p>
          <w:p w14:paraId="0B3DED4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内容正确，用词规范、简洁，表达清晰无歧义，检验报告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不得修改</w:t>
            </w:r>
            <w:r>
              <w:rPr>
                <w:rFonts w:hint="default" w:ascii="Times New Roman" w:hAnsi="Times New Roman" w:eastAsia="国标宋体" w:cs="Times New Roman"/>
                <w:snapToGrid w:val="0"/>
                <w:color w:val="auto"/>
                <w:spacing w:val="6"/>
                <w:szCs w:val="24"/>
                <w:lang w:eastAsia="zh-CN"/>
              </w:rPr>
              <w:t>；</w:t>
            </w:r>
          </w:p>
          <w:p w14:paraId="63E583B6">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包含有受委托方</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的检验结果时，检验报告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中需要注明</w:t>
            </w:r>
            <w:r>
              <w:rPr>
                <w:rFonts w:hint="default" w:ascii="Times New Roman" w:hAnsi="Times New Roman" w:eastAsia="国标宋体" w:cs="Times New Roman"/>
                <w:snapToGrid w:val="0"/>
                <w:color w:val="auto"/>
                <w:spacing w:val="6"/>
                <w:szCs w:val="24"/>
                <w:lang w:eastAsia="zh-CN"/>
              </w:rPr>
              <w:t>；</w:t>
            </w:r>
          </w:p>
          <w:p w14:paraId="510DDCF5">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由机构负责人或者其授权的人员批准</w:t>
            </w:r>
            <w:r>
              <w:rPr>
                <w:rFonts w:hint="default" w:ascii="Times New Roman" w:hAnsi="Times New Roman" w:eastAsia="国标宋体" w:cs="Times New Roman"/>
                <w:snapToGrid w:val="0"/>
                <w:color w:val="auto"/>
                <w:spacing w:val="6"/>
                <w:szCs w:val="24"/>
                <w:lang w:eastAsia="zh-CN"/>
              </w:rPr>
              <w:t>；</w:t>
            </w:r>
          </w:p>
          <w:p w14:paraId="7793387C">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明确检验报告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的编号、审批、收集、储存、保存期限和处置的规定</w:t>
            </w:r>
            <w:r>
              <w:rPr>
                <w:rFonts w:hint="default" w:ascii="Times New Roman" w:hAnsi="Times New Roman" w:eastAsia="国标宋体" w:cs="Times New Roman"/>
                <w:snapToGrid w:val="0"/>
                <w:color w:val="auto"/>
                <w:spacing w:val="6"/>
                <w:szCs w:val="24"/>
                <w:lang w:eastAsia="zh-CN"/>
              </w:rPr>
              <w:t>；</w:t>
            </w:r>
          </w:p>
          <w:p w14:paraId="5B1A409E">
            <w:pPr>
              <w:spacing w:line="240" w:lineRule="auto"/>
              <w:ind w:left="132" w:right="118"/>
              <w:rPr>
                <w:rFonts w:hint="default" w:ascii="Times New Roman" w:hAnsi="Times New Roman" w:eastAsia="国标宋体" w:cs="Times New Roman"/>
                <w:snapToGrid w:val="0"/>
                <w:color w:val="auto"/>
                <w:spacing w:val="6"/>
                <w:szCs w:val="24"/>
              </w:rPr>
            </w:pPr>
            <w:r>
              <w:rPr>
                <w:rFonts w:hint="default" w:ascii="Times New Roman" w:hAnsi="Times New Roman" w:eastAsia="国标宋体" w:cs="Times New Roman"/>
                <w:snapToGrid w:val="0"/>
                <w:color w:val="auto"/>
                <w:spacing w:val="6"/>
                <w:szCs w:val="24"/>
                <w:lang w:eastAsia="zh-CN"/>
              </w:rPr>
              <w:t>（7）</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发出后需要更正时，对于不影响检验结论的更正，可以采用补充说明的方式，书面传递给客户</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对于影响检验结论的更正，需要向客户</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更正后的检验报告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，并且将原检验报告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收回，一并归档，同时在监管部门的信息化系统中进行更正</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当发生检验结论的更正结果为“不合格”时，还需要告知该设备的使用登记机关</w:t>
            </w:r>
            <w:r>
              <w:rPr>
                <w:rFonts w:hint="default" w:ascii="Times New Roman" w:hAnsi="Times New Roman" w:eastAsia="国标宋体" w:cs="Times New Roman"/>
                <w:snapToGrid w:val="0"/>
                <w:color w:val="auto"/>
                <w:spacing w:val="6"/>
                <w:szCs w:val="24"/>
                <w:lang w:eastAsia="zh-CN"/>
              </w:rPr>
              <w:t>；</w:t>
            </w:r>
          </w:p>
          <w:p w14:paraId="6044CC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（8）</w:t>
            </w:r>
            <w:r>
              <w:rPr>
                <w:rFonts w:hint="default" w:ascii="Times New Roman" w:hAnsi="Times New Roman" w:eastAsia="国标宋体" w:cs="Times New Roman"/>
                <w:snapToGrid w:val="0"/>
                <w:color w:val="auto"/>
                <w:spacing w:val="6"/>
                <w:szCs w:val="24"/>
              </w:rPr>
              <w:t>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需要加盖检验机构公章或者专用章，印章有专人保管，并且建立使用管理规定。</w:t>
            </w:r>
          </w:p>
          <w:p w14:paraId="1B5092EC">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p>
        </w:tc>
      </w:tr>
      <w:tr w14:paraId="2BF95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7F88ACA">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4.9 检验</w:t>
            </w:r>
            <w:r>
              <w:rPr>
                <w:rFonts w:hint="default" w:ascii="Times New Roman" w:hAnsi="Times New Roman" w:eastAsia="国标宋体" w:cs="Times New Roman"/>
                <w:snapToGrid w:val="0"/>
                <w:color w:val="auto"/>
                <w:spacing w:val="6"/>
                <w:szCs w:val="24"/>
                <w:lang w:eastAsia="zh-CN"/>
              </w:rPr>
              <w:t>工作</w:t>
            </w:r>
            <w:r>
              <w:rPr>
                <w:rFonts w:hint="default" w:ascii="Times New Roman" w:hAnsi="Times New Roman" w:eastAsia="国标宋体" w:cs="Times New Roman"/>
                <w:snapToGrid w:val="0"/>
                <w:color w:val="auto"/>
                <w:spacing w:val="6"/>
                <w:szCs w:val="24"/>
              </w:rPr>
              <w:t>监督控制</w:t>
            </w:r>
          </w:p>
        </w:tc>
        <w:tc>
          <w:tcPr>
            <w:tcW w:w="3569" w:type="pct"/>
            <w:vAlign w:val="center"/>
          </w:tcPr>
          <w:p w14:paraId="29DF1FC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检验工作监督控制程序</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制定监督计划</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明确监督的组织、方式、实施要求和结果处置等。监督可以采用以下方式</w:t>
            </w:r>
            <w:r>
              <w:rPr>
                <w:rFonts w:hint="default" w:ascii="Times New Roman" w:hAnsi="Times New Roman" w:eastAsia="国标宋体" w:cs="Times New Roman"/>
                <w:snapToGrid w:val="0"/>
                <w:color w:val="auto"/>
                <w:spacing w:val="6"/>
                <w:szCs w:val="24"/>
                <w:lang w:eastAsia="zh-CN"/>
              </w:rPr>
              <w:t>：</w:t>
            </w:r>
          </w:p>
          <w:p w14:paraId="37C8D7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定期考核检验与检测人员的工作能力和质量</w:t>
            </w:r>
            <w:r>
              <w:rPr>
                <w:rFonts w:hint="default" w:ascii="Times New Roman" w:hAnsi="Times New Roman" w:eastAsia="国标宋体" w:cs="Times New Roman"/>
                <w:snapToGrid w:val="0"/>
                <w:color w:val="auto"/>
                <w:spacing w:val="6"/>
                <w:szCs w:val="24"/>
                <w:lang w:eastAsia="zh-CN"/>
              </w:rPr>
              <w:t>；</w:t>
            </w:r>
          </w:p>
          <w:p w14:paraId="2B7668E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定期评审已发出的检验报告</w:t>
            </w:r>
            <w:r>
              <w:rPr>
                <w:rFonts w:hint="default" w:ascii="Times New Roman" w:hAnsi="Times New Roman" w:eastAsia="国标宋体" w:cs="Times New Roman"/>
                <w:snapToGrid w:val="0"/>
                <w:color w:val="auto"/>
                <w:spacing w:val="6"/>
                <w:szCs w:val="24"/>
                <w:lang w:eastAsia="zh-CN"/>
              </w:rPr>
              <w:t>（</w:t>
            </w:r>
            <w:r>
              <w:rPr>
                <w:rFonts w:hint="default" w:ascii="Times New Roman" w:hAnsi="Times New Roman" w:eastAsia="国标宋体" w:cs="Times New Roman"/>
                <w:snapToGrid w:val="0"/>
                <w:color w:val="auto"/>
                <w:spacing w:val="6"/>
                <w:szCs w:val="24"/>
              </w:rPr>
              <w:t>证书</w:t>
            </w:r>
            <w:r>
              <w:rPr>
                <w:rFonts w:hint="default" w:ascii="Times New Roman" w:hAnsi="Times New Roman" w:eastAsia="国标宋体" w:cs="Times New Roman"/>
                <w:snapToGrid w:val="0"/>
                <w:color w:val="auto"/>
                <w:spacing w:val="6"/>
                <w:szCs w:val="24"/>
                <w:lang w:eastAsia="zh-CN"/>
              </w:rPr>
              <w:t>）；</w:t>
            </w:r>
          </w:p>
          <w:p w14:paraId="2128306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利用相同或者不同方法进行重复检验检测</w:t>
            </w:r>
            <w:r>
              <w:rPr>
                <w:rFonts w:hint="default" w:ascii="Times New Roman" w:hAnsi="Times New Roman" w:eastAsia="国标宋体" w:cs="Times New Roman"/>
                <w:snapToGrid w:val="0"/>
                <w:color w:val="auto"/>
                <w:spacing w:val="6"/>
                <w:szCs w:val="24"/>
                <w:lang w:eastAsia="zh-CN"/>
              </w:rPr>
              <w:t>；</w:t>
            </w:r>
          </w:p>
          <w:p w14:paraId="4962854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参与检验能力评价与验证活动。</w:t>
            </w:r>
          </w:p>
          <w:p w14:paraId="75DCE4A5">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相关记录</w:t>
            </w:r>
            <w:r>
              <w:rPr>
                <w:rFonts w:hint="default" w:ascii="Times New Roman" w:hAnsi="Times New Roman" w:eastAsia="国标宋体" w:cs="Times New Roman"/>
                <w:snapToGrid w:val="0"/>
                <w:color w:val="auto"/>
                <w:spacing w:val="6"/>
                <w:szCs w:val="24"/>
                <w:lang w:eastAsia="zh-CN"/>
              </w:rPr>
              <w:t>和</w:t>
            </w:r>
            <w:r>
              <w:rPr>
                <w:rFonts w:hint="default" w:ascii="Times New Roman" w:hAnsi="Times New Roman" w:eastAsia="国标宋体" w:cs="Times New Roman"/>
                <w:snapToGrid w:val="0"/>
                <w:color w:val="auto"/>
                <w:spacing w:val="6"/>
                <w:szCs w:val="24"/>
              </w:rPr>
              <w:t>参与检验能力评价与验证活动</w:t>
            </w:r>
            <w:r>
              <w:rPr>
                <w:rFonts w:hint="default" w:ascii="Times New Roman" w:hAnsi="Times New Roman" w:eastAsia="国标宋体" w:cs="Times New Roman"/>
                <w:snapToGrid w:val="0"/>
                <w:color w:val="auto"/>
                <w:spacing w:val="6"/>
                <w:szCs w:val="24"/>
                <w:lang w:eastAsia="zh-CN"/>
              </w:rPr>
              <w:t>的记录</w:t>
            </w:r>
            <w:r>
              <w:rPr>
                <w:rFonts w:hint="default" w:ascii="Times New Roman" w:hAnsi="Times New Roman" w:eastAsia="国标宋体" w:cs="Times New Roman"/>
                <w:snapToGrid w:val="0"/>
                <w:color w:val="auto"/>
                <w:spacing w:val="6"/>
                <w:szCs w:val="24"/>
              </w:rPr>
              <w:t>。</w:t>
            </w:r>
          </w:p>
        </w:tc>
      </w:tr>
      <w:tr w14:paraId="14EE0C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6213071F">
            <w:pPr>
              <w:spacing w:line="240" w:lineRule="auto"/>
              <w:ind w:left="133"/>
              <w:rPr>
                <w:rFonts w:hint="default" w:ascii="Times New Roman" w:hAnsi="Times New Roman" w:eastAsia="国标宋体" w:cs="Times New Roman"/>
                <w:snapToGrid w:val="0"/>
                <w:color w:val="auto"/>
                <w:spacing w:val="8"/>
                <w:szCs w:val="21"/>
              </w:rPr>
            </w:pPr>
            <w:r>
              <w:rPr>
                <w:rFonts w:hint="default" w:ascii="Times New Roman" w:hAnsi="Times New Roman" w:eastAsia="国标宋体" w:cs="Times New Roman"/>
                <w:snapToGrid w:val="0"/>
                <w:color w:val="auto"/>
                <w:spacing w:val="8"/>
                <w:szCs w:val="24"/>
              </w:rPr>
              <w:t>5 分析与改进</w:t>
            </w:r>
          </w:p>
        </w:tc>
      </w:tr>
      <w:tr w14:paraId="0EB00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5825D3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5.1 内部审核控制</w:t>
            </w:r>
          </w:p>
        </w:tc>
        <w:tc>
          <w:tcPr>
            <w:tcW w:w="3569" w:type="pct"/>
            <w:vAlign w:val="center"/>
          </w:tcPr>
          <w:p w14:paraId="7B41CA04">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内部审核控制程序，验证质量管理体系实施的符合性和有效性，并且达到以下要求</w:t>
            </w:r>
            <w:r>
              <w:rPr>
                <w:rFonts w:hint="default" w:ascii="Times New Roman" w:hAnsi="Times New Roman" w:eastAsia="国标宋体" w:cs="Times New Roman"/>
                <w:snapToGrid w:val="0"/>
                <w:color w:val="auto"/>
                <w:spacing w:val="6"/>
                <w:szCs w:val="24"/>
                <w:lang w:eastAsia="zh-CN"/>
              </w:rPr>
              <w:t>：</w:t>
            </w:r>
          </w:p>
          <w:p w14:paraId="35BECC1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内部审核由质量负责人策划并且组织实施，覆盖质量管理体系所有要素和部门</w:t>
            </w:r>
            <w:r>
              <w:rPr>
                <w:rFonts w:hint="default" w:ascii="Times New Roman" w:hAnsi="Times New Roman" w:eastAsia="国标宋体" w:cs="Times New Roman"/>
                <w:snapToGrid w:val="0"/>
                <w:color w:val="auto"/>
                <w:spacing w:val="6"/>
                <w:szCs w:val="24"/>
                <w:lang w:eastAsia="zh-CN"/>
              </w:rPr>
              <w:t>；</w:t>
            </w:r>
          </w:p>
          <w:p w14:paraId="76709EC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每年至少进行一次</w:t>
            </w:r>
            <w:r>
              <w:rPr>
                <w:rFonts w:hint="default" w:ascii="Times New Roman" w:hAnsi="Times New Roman" w:eastAsia="国标宋体" w:cs="Times New Roman"/>
                <w:snapToGrid w:val="0"/>
                <w:color w:val="auto"/>
                <w:spacing w:val="6"/>
                <w:szCs w:val="24"/>
                <w:lang w:eastAsia="zh-CN"/>
              </w:rPr>
              <w:t>；</w:t>
            </w:r>
          </w:p>
          <w:p w14:paraId="2E15A79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编制内部审核计划，并且经过审批</w:t>
            </w:r>
            <w:r>
              <w:rPr>
                <w:rFonts w:hint="default" w:ascii="Times New Roman" w:hAnsi="Times New Roman" w:eastAsia="国标宋体" w:cs="Times New Roman"/>
                <w:snapToGrid w:val="0"/>
                <w:color w:val="auto"/>
                <w:spacing w:val="6"/>
                <w:szCs w:val="24"/>
                <w:lang w:eastAsia="zh-CN"/>
              </w:rPr>
              <w:t>；</w:t>
            </w:r>
          </w:p>
          <w:p w14:paraId="2999829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由经过培训和具有经验的人员担任审核人员，编制内部审核检查表、实施内部审核，审核人员独立于被审核的活动</w:t>
            </w:r>
            <w:r>
              <w:rPr>
                <w:rFonts w:hint="default" w:ascii="Times New Roman" w:hAnsi="Times New Roman" w:eastAsia="国标宋体" w:cs="Times New Roman"/>
                <w:snapToGrid w:val="0"/>
                <w:color w:val="auto"/>
                <w:spacing w:val="6"/>
                <w:szCs w:val="24"/>
                <w:lang w:eastAsia="zh-CN"/>
              </w:rPr>
              <w:t>；</w:t>
            </w:r>
          </w:p>
          <w:p w14:paraId="60C7DCE7">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及时采取纠正和纠正措施</w:t>
            </w:r>
            <w:r>
              <w:rPr>
                <w:rFonts w:hint="default" w:ascii="Times New Roman" w:hAnsi="Times New Roman" w:eastAsia="国标宋体" w:cs="Times New Roman"/>
                <w:snapToGrid w:val="0"/>
                <w:color w:val="auto"/>
                <w:spacing w:val="6"/>
                <w:szCs w:val="24"/>
                <w:lang w:eastAsia="zh-CN"/>
              </w:rPr>
              <w:t>；</w:t>
            </w:r>
          </w:p>
          <w:p w14:paraId="1BD5E6E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（6）</w:t>
            </w:r>
            <w:r>
              <w:rPr>
                <w:rFonts w:hint="default" w:ascii="Times New Roman" w:hAnsi="Times New Roman" w:eastAsia="国标宋体" w:cs="Times New Roman"/>
                <w:snapToGrid w:val="0"/>
                <w:color w:val="auto"/>
                <w:spacing w:val="6"/>
                <w:szCs w:val="24"/>
              </w:rPr>
              <w:t>出具内部审核报告</w:t>
            </w:r>
            <w:r>
              <w:rPr>
                <w:rFonts w:hint="default" w:ascii="Times New Roman" w:hAnsi="Times New Roman" w:eastAsia="国标宋体" w:cs="Times New Roman"/>
                <w:snapToGrid w:val="0"/>
                <w:color w:val="auto"/>
                <w:spacing w:val="6"/>
                <w:szCs w:val="24"/>
                <w:lang w:eastAsia="zh-CN"/>
              </w:rPr>
              <w:t>。</w:t>
            </w:r>
          </w:p>
          <w:p w14:paraId="39F6DAE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 xml:space="preserve"> 4 年来历次内部审核的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43796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38ACDF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5.2 不符合控制</w:t>
            </w:r>
          </w:p>
        </w:tc>
        <w:tc>
          <w:tcPr>
            <w:tcW w:w="3569" w:type="pct"/>
            <w:vAlign w:val="center"/>
          </w:tcPr>
          <w:p w14:paraId="37B48A0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不符合控制程序，并且达到以下要求</w:t>
            </w:r>
            <w:r>
              <w:rPr>
                <w:rFonts w:hint="default" w:ascii="Times New Roman" w:hAnsi="Times New Roman" w:eastAsia="国标宋体" w:cs="Times New Roman"/>
                <w:snapToGrid w:val="0"/>
                <w:color w:val="auto"/>
                <w:spacing w:val="6"/>
                <w:szCs w:val="24"/>
                <w:lang w:eastAsia="zh-CN"/>
              </w:rPr>
              <w:t>：</w:t>
            </w:r>
          </w:p>
          <w:p w14:paraId="7127795A">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对不符合的严重性进行评价，并且对其可接受程度做出判定</w:t>
            </w:r>
            <w:r>
              <w:rPr>
                <w:rFonts w:hint="default" w:ascii="Times New Roman" w:hAnsi="Times New Roman" w:eastAsia="国标宋体" w:cs="Times New Roman"/>
                <w:snapToGrid w:val="0"/>
                <w:color w:val="auto"/>
                <w:spacing w:val="6"/>
                <w:szCs w:val="24"/>
                <w:lang w:eastAsia="zh-CN"/>
              </w:rPr>
              <w:t>；</w:t>
            </w:r>
          </w:p>
          <w:p w14:paraId="674A14E4">
            <w:pPr>
              <w:numPr>
                <w:ilvl w:val="0"/>
                <w:numId w:val="7"/>
              </w:num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明确纠正及纠正确认的控制要求</w:t>
            </w:r>
            <w:r>
              <w:rPr>
                <w:rFonts w:hint="default" w:ascii="Times New Roman" w:hAnsi="Times New Roman" w:eastAsia="国标宋体" w:cs="Times New Roman"/>
                <w:snapToGrid w:val="0"/>
                <w:color w:val="auto"/>
                <w:spacing w:val="6"/>
                <w:szCs w:val="24"/>
                <w:lang w:eastAsia="zh-CN"/>
              </w:rPr>
              <w:t>；</w:t>
            </w:r>
          </w:p>
          <w:p w14:paraId="3E905CA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采取纠正</w:t>
            </w:r>
            <w:r>
              <w:rPr>
                <w:rFonts w:hint="default" w:ascii="Times New Roman" w:hAnsi="Times New Roman" w:eastAsia="国标宋体" w:cs="Times New Roman"/>
                <w:snapToGrid w:val="0"/>
                <w:color w:val="auto"/>
                <w:spacing w:val="6"/>
                <w:szCs w:val="24"/>
                <w:lang w:eastAsia="zh-CN"/>
              </w:rPr>
              <w:t>；</w:t>
            </w:r>
          </w:p>
          <w:p w14:paraId="38172ED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当不符合项影响所检验设备的结论时，及时跟踪处理</w:t>
            </w:r>
            <w:r>
              <w:rPr>
                <w:rFonts w:hint="default" w:ascii="Times New Roman" w:hAnsi="Times New Roman" w:eastAsia="国标宋体" w:cs="Times New Roman"/>
                <w:snapToGrid w:val="0"/>
                <w:color w:val="auto"/>
                <w:spacing w:val="6"/>
                <w:szCs w:val="24"/>
                <w:lang w:eastAsia="zh-CN"/>
              </w:rPr>
              <w:t>；</w:t>
            </w:r>
          </w:p>
          <w:p w14:paraId="00ADE9B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评价不符合再度发生的可能性。</w:t>
            </w:r>
          </w:p>
          <w:p w14:paraId="091F9D27">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年的不符合报告及采取纠正的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A4C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16778ED8">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5.3 纠正措施控制</w:t>
            </w:r>
          </w:p>
        </w:tc>
        <w:tc>
          <w:tcPr>
            <w:tcW w:w="3569" w:type="pct"/>
            <w:vAlign w:val="center"/>
          </w:tcPr>
          <w:p w14:paraId="0EAF67CB">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纠正措施控制程序，并且达到以下要求</w:t>
            </w:r>
            <w:r>
              <w:rPr>
                <w:rFonts w:hint="default" w:ascii="Times New Roman" w:hAnsi="Times New Roman" w:eastAsia="国标宋体" w:cs="Times New Roman"/>
                <w:snapToGrid w:val="0"/>
                <w:color w:val="auto"/>
                <w:spacing w:val="6"/>
                <w:szCs w:val="24"/>
                <w:lang w:eastAsia="zh-CN"/>
              </w:rPr>
              <w:t>：</w:t>
            </w:r>
          </w:p>
          <w:p w14:paraId="36DF4D3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分析、确定不符合产生的主要原因</w:t>
            </w:r>
            <w:r>
              <w:rPr>
                <w:rFonts w:hint="default" w:ascii="Times New Roman" w:hAnsi="Times New Roman" w:eastAsia="国标宋体" w:cs="Times New Roman"/>
                <w:snapToGrid w:val="0"/>
                <w:color w:val="auto"/>
                <w:spacing w:val="6"/>
                <w:szCs w:val="24"/>
                <w:lang w:eastAsia="zh-CN"/>
              </w:rPr>
              <w:t>；</w:t>
            </w:r>
          </w:p>
          <w:p w14:paraId="347AAD6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制定、评价、实施纠正措施</w:t>
            </w:r>
            <w:r>
              <w:rPr>
                <w:rFonts w:hint="default" w:ascii="Times New Roman" w:hAnsi="Times New Roman" w:eastAsia="国标宋体" w:cs="Times New Roman"/>
                <w:snapToGrid w:val="0"/>
                <w:color w:val="auto"/>
                <w:spacing w:val="6"/>
                <w:szCs w:val="24"/>
                <w:lang w:eastAsia="zh-CN"/>
              </w:rPr>
              <w:t>；</w:t>
            </w:r>
          </w:p>
          <w:p w14:paraId="213A32A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验证纠正措施的有效性。</w:t>
            </w:r>
          </w:p>
          <w:p w14:paraId="2E9E152B">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年纠正措施的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583EB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28E18241">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5.4 预防措施控制</w:t>
            </w:r>
          </w:p>
        </w:tc>
        <w:tc>
          <w:tcPr>
            <w:tcW w:w="3569" w:type="pct"/>
            <w:vAlign w:val="center"/>
          </w:tcPr>
          <w:p w14:paraId="6E3CABF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预防措施控制程序，并且达到以下要求</w:t>
            </w: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明确预防措施的启动时机与要求</w:t>
            </w:r>
            <w:r>
              <w:rPr>
                <w:rFonts w:hint="default" w:ascii="Times New Roman" w:hAnsi="Times New Roman" w:eastAsia="国标宋体" w:cs="Times New Roman"/>
                <w:snapToGrid w:val="0"/>
                <w:color w:val="auto"/>
                <w:spacing w:val="6"/>
                <w:szCs w:val="24"/>
                <w:lang w:eastAsia="zh-CN"/>
              </w:rPr>
              <w:t>；</w:t>
            </w:r>
          </w:p>
          <w:p w14:paraId="44F42050">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明确潜在不符合收集的职责、方式和方法</w:t>
            </w:r>
            <w:r>
              <w:rPr>
                <w:rFonts w:hint="default" w:ascii="Times New Roman" w:hAnsi="Times New Roman" w:eastAsia="国标宋体" w:cs="Times New Roman"/>
                <w:snapToGrid w:val="0"/>
                <w:color w:val="auto"/>
                <w:spacing w:val="6"/>
                <w:szCs w:val="24"/>
                <w:lang w:eastAsia="zh-CN"/>
              </w:rPr>
              <w:t>；</w:t>
            </w:r>
          </w:p>
          <w:p w14:paraId="7D01287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分析、确定潜在不符合产生的主要原因</w:t>
            </w:r>
            <w:r>
              <w:rPr>
                <w:rFonts w:hint="default" w:ascii="Times New Roman" w:hAnsi="Times New Roman" w:eastAsia="国标宋体" w:cs="Times New Roman"/>
                <w:snapToGrid w:val="0"/>
                <w:color w:val="auto"/>
                <w:spacing w:val="6"/>
                <w:szCs w:val="24"/>
                <w:lang w:eastAsia="zh-CN"/>
              </w:rPr>
              <w:t>；</w:t>
            </w:r>
          </w:p>
          <w:p w14:paraId="3902B5E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制定、评价、实施预防措施</w:t>
            </w:r>
            <w:r>
              <w:rPr>
                <w:rFonts w:hint="default" w:ascii="Times New Roman" w:hAnsi="Times New Roman" w:eastAsia="国标宋体" w:cs="Times New Roman"/>
                <w:snapToGrid w:val="0"/>
                <w:color w:val="auto"/>
                <w:spacing w:val="6"/>
                <w:szCs w:val="24"/>
                <w:lang w:eastAsia="zh-CN"/>
              </w:rPr>
              <w:t>；</w:t>
            </w:r>
          </w:p>
          <w:p w14:paraId="1F95D5E5">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评价预防措施的有效性。</w:t>
            </w:r>
          </w:p>
          <w:p w14:paraId="5B04B404">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年预防措施的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12553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Merge w:val="restart"/>
            <w:vAlign w:val="center"/>
          </w:tcPr>
          <w:p w14:paraId="001F405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5.5 投诉控制</w:t>
            </w:r>
          </w:p>
        </w:tc>
        <w:tc>
          <w:tcPr>
            <w:tcW w:w="3569" w:type="pct"/>
            <w:vAlign w:val="center"/>
          </w:tcPr>
          <w:p w14:paraId="51718FB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投诉控制程序，并且达到以下要求</w:t>
            </w:r>
            <w:r>
              <w:rPr>
                <w:rFonts w:hint="default" w:ascii="Times New Roman" w:hAnsi="Times New Roman" w:eastAsia="国标宋体" w:cs="Times New Roman"/>
                <w:snapToGrid w:val="0"/>
                <w:color w:val="auto"/>
                <w:spacing w:val="6"/>
                <w:szCs w:val="24"/>
                <w:lang w:eastAsia="zh-CN"/>
              </w:rPr>
              <w:t>：</w:t>
            </w:r>
          </w:p>
          <w:p w14:paraId="7DEBED8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明确受理投诉的职责、途径、接受方式</w:t>
            </w:r>
            <w:r>
              <w:rPr>
                <w:rFonts w:hint="default" w:ascii="Times New Roman" w:hAnsi="Times New Roman" w:eastAsia="国标宋体" w:cs="Times New Roman"/>
                <w:snapToGrid w:val="0"/>
                <w:color w:val="auto"/>
                <w:spacing w:val="6"/>
                <w:szCs w:val="24"/>
                <w:lang w:eastAsia="zh-CN"/>
              </w:rPr>
              <w:t>；</w:t>
            </w:r>
          </w:p>
          <w:p w14:paraId="1B31BB0D">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明确投诉的处理职责、流程和要求</w:t>
            </w:r>
            <w:r>
              <w:rPr>
                <w:rFonts w:hint="default" w:ascii="Times New Roman" w:hAnsi="Times New Roman" w:eastAsia="国标宋体" w:cs="Times New Roman"/>
                <w:snapToGrid w:val="0"/>
                <w:color w:val="auto"/>
                <w:spacing w:val="6"/>
                <w:szCs w:val="24"/>
                <w:lang w:eastAsia="zh-CN"/>
              </w:rPr>
              <w:t>；</w:t>
            </w:r>
          </w:p>
          <w:p w14:paraId="0E42859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明确跟踪验证处理过程和结果的职责与要求</w:t>
            </w:r>
            <w:r>
              <w:rPr>
                <w:rFonts w:hint="default" w:ascii="Times New Roman" w:hAnsi="Times New Roman" w:eastAsia="国标宋体" w:cs="Times New Roman"/>
                <w:snapToGrid w:val="0"/>
                <w:color w:val="auto"/>
                <w:spacing w:val="6"/>
                <w:szCs w:val="24"/>
                <w:lang w:eastAsia="zh-CN"/>
              </w:rPr>
              <w:t>；</w:t>
            </w:r>
          </w:p>
          <w:p w14:paraId="7DE4987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规定改进的途径。</w:t>
            </w:r>
          </w:p>
          <w:p w14:paraId="36CD221C">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年投诉处理的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053B53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564C69D2">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5.6 数据统计分析控制</w:t>
            </w:r>
          </w:p>
        </w:tc>
        <w:tc>
          <w:tcPr>
            <w:tcW w:w="3569" w:type="pct"/>
            <w:vAlign w:val="center"/>
          </w:tcPr>
          <w:p w14:paraId="48722141">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w:t>
            </w:r>
            <w:r>
              <w:rPr>
                <w:rFonts w:hint="default" w:ascii="Times New Roman" w:hAnsi="Times New Roman" w:eastAsia="国标宋体" w:cs="Times New Roman"/>
                <w:snapToGrid w:val="0"/>
                <w:color w:val="auto"/>
                <w:spacing w:val="6"/>
                <w:szCs w:val="24"/>
                <w:lang w:eastAsia="zh-CN"/>
              </w:rPr>
              <w:t>的</w:t>
            </w:r>
            <w:r>
              <w:rPr>
                <w:rFonts w:hint="default" w:ascii="Times New Roman" w:hAnsi="Times New Roman" w:eastAsia="国标宋体" w:cs="Times New Roman"/>
                <w:snapToGrid w:val="0"/>
                <w:color w:val="auto"/>
                <w:spacing w:val="6"/>
                <w:szCs w:val="24"/>
              </w:rPr>
              <w:t>数据统计分析控制程序，分析内容应当包含以下信息</w:t>
            </w:r>
            <w:r>
              <w:rPr>
                <w:rFonts w:hint="default" w:ascii="Times New Roman" w:hAnsi="Times New Roman" w:eastAsia="国标宋体" w:cs="Times New Roman"/>
                <w:snapToGrid w:val="0"/>
                <w:color w:val="auto"/>
                <w:spacing w:val="6"/>
                <w:szCs w:val="24"/>
                <w:lang w:eastAsia="zh-CN"/>
              </w:rPr>
              <w:t>：</w:t>
            </w:r>
          </w:p>
          <w:p w14:paraId="3FB60B48">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明确数据信息收集的范围、内容，至少包含客户满意度、与检验检测质量和安全相关的活动结果、资源的匹配度等</w:t>
            </w:r>
            <w:r>
              <w:rPr>
                <w:rFonts w:hint="default" w:ascii="Times New Roman" w:hAnsi="Times New Roman" w:eastAsia="国标宋体" w:cs="Times New Roman"/>
                <w:snapToGrid w:val="0"/>
                <w:color w:val="auto"/>
                <w:spacing w:val="6"/>
                <w:szCs w:val="24"/>
                <w:lang w:eastAsia="zh-CN"/>
              </w:rPr>
              <w:t>；</w:t>
            </w:r>
          </w:p>
          <w:p w14:paraId="1900F4D3">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明确数据分析的方式与方法</w:t>
            </w:r>
            <w:r>
              <w:rPr>
                <w:rFonts w:hint="default" w:ascii="Times New Roman" w:hAnsi="Times New Roman" w:eastAsia="国标宋体" w:cs="Times New Roman"/>
                <w:snapToGrid w:val="0"/>
                <w:color w:val="auto"/>
                <w:spacing w:val="6"/>
                <w:szCs w:val="24"/>
                <w:lang w:eastAsia="zh-CN"/>
              </w:rPr>
              <w:t>；</w:t>
            </w:r>
          </w:p>
          <w:p w14:paraId="1D6ADC73">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规定数据分析结果的应用</w:t>
            </w:r>
            <w:r>
              <w:rPr>
                <w:rFonts w:hint="default" w:ascii="Times New Roman" w:hAnsi="Times New Roman" w:eastAsia="国标宋体" w:cs="Times New Roman"/>
                <w:snapToGrid w:val="0"/>
                <w:color w:val="auto"/>
                <w:spacing w:val="6"/>
                <w:szCs w:val="24"/>
                <w:lang w:eastAsia="zh-CN"/>
              </w:rPr>
              <w:t>要求。</w:t>
            </w:r>
          </w:p>
          <w:p w14:paraId="3F849886">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（延续单位</w:t>
            </w: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近 4 年数据分析的</w:t>
            </w: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r>
              <w:rPr>
                <w:rFonts w:hint="default" w:ascii="Times New Roman" w:hAnsi="Times New Roman" w:eastAsia="国标宋体" w:cs="Times New Roman"/>
                <w:snapToGrid w:val="0"/>
                <w:color w:val="auto"/>
                <w:spacing w:val="6"/>
                <w:szCs w:val="24"/>
                <w:lang w:eastAsia="zh-CN"/>
              </w:rPr>
              <w:t>）</w:t>
            </w:r>
          </w:p>
        </w:tc>
      </w:tr>
      <w:tr w14:paraId="74B0BE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5000" w:type="pct"/>
            <w:gridSpan w:val="2"/>
            <w:vAlign w:val="center"/>
          </w:tcPr>
          <w:p w14:paraId="126415D3">
            <w:pPr>
              <w:spacing w:line="240" w:lineRule="auto"/>
              <w:ind w:left="120" w:leftChars="50"/>
              <w:rPr>
                <w:rFonts w:hint="default" w:ascii="Times New Roman" w:hAnsi="Times New Roman" w:eastAsia="国标宋体" w:cs="Times New Roman"/>
                <w:snapToGrid w:val="0"/>
                <w:color w:val="auto"/>
                <w:spacing w:val="12"/>
                <w:szCs w:val="21"/>
              </w:rPr>
            </w:pPr>
            <w:r>
              <w:rPr>
                <w:rFonts w:hint="default" w:ascii="Times New Roman" w:hAnsi="Times New Roman" w:eastAsia="国标宋体" w:cs="Times New Roman"/>
                <w:snapToGrid w:val="0"/>
                <w:color w:val="auto"/>
                <w:spacing w:val="6"/>
                <w:szCs w:val="24"/>
              </w:rPr>
              <w:t>6 与政府、行业和客户关系</w:t>
            </w:r>
          </w:p>
        </w:tc>
      </w:tr>
      <w:tr w14:paraId="4500C5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726C929">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rPr>
              <w:t xml:space="preserve">6.1 </w:t>
            </w:r>
            <w:r>
              <w:rPr>
                <w:rFonts w:hint="default" w:ascii="Times New Roman" w:hAnsi="Times New Roman" w:eastAsia="国标宋体" w:cs="Times New Roman"/>
                <w:snapToGrid w:val="0"/>
                <w:color w:val="auto"/>
                <w:spacing w:val="6"/>
                <w:szCs w:val="24"/>
                <w:lang w:eastAsia="zh-CN"/>
              </w:rPr>
              <w:t>接受政府监督管理</w:t>
            </w:r>
          </w:p>
        </w:tc>
        <w:tc>
          <w:tcPr>
            <w:tcW w:w="3569" w:type="pct"/>
            <w:vAlign w:val="center"/>
          </w:tcPr>
          <w:p w14:paraId="6C2633B3">
            <w:pPr>
              <w:spacing w:line="240" w:lineRule="auto"/>
              <w:ind w:left="132" w:right="118"/>
              <w:rPr>
                <w:rFonts w:hint="default" w:ascii="Times New Roman" w:hAnsi="Times New Roman" w:eastAsia="国标宋体" w:cs="Times New Roman"/>
                <w:snapToGrid w:val="0"/>
                <w:color w:val="auto"/>
                <w:spacing w:val="6"/>
                <w:szCs w:val="21"/>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正式发布和实施的</w:t>
            </w:r>
            <w:r>
              <w:rPr>
                <w:rFonts w:hint="default" w:ascii="Times New Roman" w:hAnsi="Times New Roman" w:eastAsia="国标宋体" w:cs="Times New Roman"/>
                <w:snapToGrid w:val="0"/>
                <w:color w:val="auto"/>
                <w:spacing w:val="6"/>
                <w:szCs w:val="24"/>
                <w:lang w:eastAsia="zh-CN"/>
              </w:rPr>
              <w:t>接受</w:t>
            </w:r>
            <w:r>
              <w:rPr>
                <w:rFonts w:hint="default" w:ascii="Times New Roman" w:hAnsi="Times New Roman" w:eastAsia="国标宋体" w:cs="Times New Roman"/>
                <w:snapToGrid w:val="0"/>
                <w:color w:val="auto"/>
                <w:spacing w:val="6"/>
                <w:szCs w:val="24"/>
              </w:rPr>
              <w:t>政府</w:t>
            </w:r>
            <w:r>
              <w:rPr>
                <w:rFonts w:hint="default" w:ascii="Times New Roman" w:hAnsi="Times New Roman" w:eastAsia="国标宋体" w:cs="Times New Roman"/>
                <w:snapToGrid w:val="0"/>
                <w:color w:val="auto"/>
                <w:spacing w:val="6"/>
                <w:szCs w:val="24"/>
                <w:lang w:eastAsia="zh-CN"/>
              </w:rPr>
              <w:t>监督管理的</w:t>
            </w:r>
            <w:r>
              <w:rPr>
                <w:rFonts w:hint="default" w:ascii="Times New Roman" w:hAnsi="Times New Roman" w:eastAsia="国标宋体" w:cs="Times New Roman"/>
                <w:snapToGrid w:val="0"/>
                <w:color w:val="auto"/>
                <w:spacing w:val="6"/>
                <w:szCs w:val="24"/>
              </w:rPr>
              <w:t>控制程序（或制度）。</w:t>
            </w:r>
          </w:p>
          <w:p w14:paraId="0299C8F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（1）</w:t>
            </w:r>
            <w:r>
              <w:rPr>
                <w:rFonts w:hint="default" w:ascii="Times New Roman" w:hAnsi="Times New Roman" w:eastAsia="国标宋体" w:cs="Times New Roman"/>
                <w:snapToGrid w:val="0"/>
                <w:color w:val="auto"/>
                <w:spacing w:val="6"/>
                <w:szCs w:val="24"/>
              </w:rPr>
              <w:t>明确按规定进行资质核准</w:t>
            </w:r>
            <w:r>
              <w:rPr>
                <w:rFonts w:hint="default" w:ascii="Times New Roman" w:hAnsi="Times New Roman" w:eastAsia="国标宋体" w:cs="Times New Roman"/>
                <w:snapToGrid w:val="0"/>
                <w:color w:val="auto"/>
                <w:spacing w:val="6"/>
                <w:szCs w:val="24"/>
                <w:lang w:eastAsia="zh-CN"/>
              </w:rPr>
              <w:t>；</w:t>
            </w:r>
          </w:p>
          <w:p w14:paraId="633FDB2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（2）</w:t>
            </w:r>
            <w:r>
              <w:rPr>
                <w:rFonts w:hint="default" w:ascii="Times New Roman" w:hAnsi="Times New Roman" w:eastAsia="国标宋体" w:cs="Times New Roman"/>
                <w:snapToGrid w:val="0"/>
                <w:color w:val="auto"/>
                <w:spacing w:val="6"/>
                <w:szCs w:val="24"/>
              </w:rPr>
              <w:t>明确按规定接受监督检查，</w:t>
            </w:r>
            <w:r>
              <w:rPr>
                <w:rFonts w:hint="default" w:ascii="Times New Roman" w:hAnsi="Times New Roman" w:eastAsia="国标宋体" w:cs="Times New Roman"/>
                <w:snapToGrid w:val="0"/>
                <w:color w:val="auto"/>
                <w:spacing w:val="6"/>
                <w:szCs w:val="24"/>
                <w:lang w:eastAsia="zh-CN"/>
              </w:rPr>
              <w:t>并</w:t>
            </w:r>
            <w:r>
              <w:rPr>
                <w:rFonts w:hint="default" w:ascii="Times New Roman" w:hAnsi="Times New Roman" w:eastAsia="国标宋体" w:cs="Times New Roman"/>
                <w:snapToGrid w:val="0"/>
                <w:color w:val="auto"/>
                <w:spacing w:val="6"/>
                <w:szCs w:val="24"/>
              </w:rPr>
              <w:t>对存在的问题进行整改</w:t>
            </w:r>
            <w:r>
              <w:rPr>
                <w:rFonts w:hint="default" w:ascii="Times New Roman" w:hAnsi="Times New Roman" w:eastAsia="国标宋体" w:cs="Times New Roman"/>
                <w:snapToGrid w:val="0"/>
                <w:color w:val="auto"/>
                <w:spacing w:val="6"/>
                <w:szCs w:val="24"/>
                <w:lang w:eastAsia="zh-CN"/>
              </w:rPr>
              <w:t>；</w:t>
            </w:r>
          </w:p>
          <w:p w14:paraId="1C443BDA">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（3）</w:t>
            </w:r>
            <w:r>
              <w:rPr>
                <w:rFonts w:hint="default" w:ascii="Times New Roman" w:hAnsi="Times New Roman" w:eastAsia="国标宋体" w:cs="Times New Roman"/>
                <w:snapToGrid w:val="0"/>
                <w:color w:val="auto"/>
                <w:spacing w:val="6"/>
                <w:szCs w:val="24"/>
              </w:rPr>
              <w:t>建立信息化管理系统和检验数据档案，实现检验机构与市场监管部门之间的数据网络传输和共享</w:t>
            </w:r>
            <w:r>
              <w:rPr>
                <w:rFonts w:hint="default" w:ascii="Times New Roman" w:hAnsi="Times New Roman" w:eastAsia="国标宋体" w:cs="Times New Roman"/>
                <w:snapToGrid w:val="0"/>
                <w:color w:val="auto"/>
                <w:spacing w:val="6"/>
                <w:szCs w:val="24"/>
                <w:lang w:eastAsia="zh-CN"/>
              </w:rPr>
              <w:t>；</w:t>
            </w:r>
          </w:p>
          <w:p w14:paraId="5D462C86">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default" w:ascii="Times New Roman" w:hAnsi="Times New Roman" w:eastAsia="国标宋体" w:cs="Times New Roman"/>
                <w:snapToGrid w:val="0"/>
                <w:color w:val="auto"/>
                <w:spacing w:val="6"/>
                <w:szCs w:val="24"/>
                <w:lang w:eastAsia="zh-CN"/>
              </w:rPr>
              <w:t>（4）</w:t>
            </w:r>
            <w:r>
              <w:rPr>
                <w:rFonts w:hint="default" w:ascii="Times New Roman" w:hAnsi="Times New Roman" w:eastAsia="国标宋体" w:cs="Times New Roman"/>
                <w:snapToGrid w:val="0"/>
                <w:color w:val="auto"/>
                <w:spacing w:val="6"/>
                <w:szCs w:val="24"/>
              </w:rPr>
              <w:t>规定协助动态监管工作，完成检验任务，及时上报有关检验工作情况</w:t>
            </w:r>
            <w:r>
              <w:rPr>
                <w:rFonts w:hint="default" w:ascii="Times New Roman" w:hAnsi="Times New Roman" w:eastAsia="国标宋体" w:cs="Times New Roman"/>
                <w:snapToGrid w:val="0"/>
                <w:color w:val="auto"/>
                <w:spacing w:val="6"/>
                <w:szCs w:val="24"/>
                <w:lang w:eastAsia="zh-CN"/>
              </w:rPr>
              <w:t>；</w:t>
            </w:r>
          </w:p>
          <w:p w14:paraId="0BB47A3E">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lang w:eastAsia="zh-CN"/>
              </w:rPr>
              <w:t>（5）</w:t>
            </w:r>
            <w:r>
              <w:rPr>
                <w:rFonts w:hint="default" w:ascii="Times New Roman" w:hAnsi="Times New Roman" w:eastAsia="国标宋体" w:cs="Times New Roman"/>
                <w:snapToGrid w:val="0"/>
                <w:color w:val="auto"/>
                <w:spacing w:val="6"/>
                <w:szCs w:val="24"/>
              </w:rPr>
              <w:t>机构名称、住所、办公地址等发生变化时，应当及时履行变更手续等。</w:t>
            </w:r>
          </w:p>
        </w:tc>
      </w:tr>
      <w:tr w14:paraId="4284C1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2509B9A0">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6.2 公正性、独立性和保密义务</w:t>
            </w:r>
          </w:p>
        </w:tc>
        <w:tc>
          <w:tcPr>
            <w:tcW w:w="3569" w:type="pct"/>
            <w:vAlign w:val="center"/>
          </w:tcPr>
          <w:p w14:paraId="72E58DCD">
            <w:pPr>
              <w:spacing w:line="240" w:lineRule="auto"/>
              <w:ind w:left="132" w:right="118"/>
              <w:rPr>
                <w:rFonts w:hint="default" w:ascii="Times New Roman" w:hAnsi="Times New Roman" w:eastAsia="国标宋体" w:cs="Times New Roman"/>
                <w:snapToGrid w:val="0"/>
                <w:color w:val="auto"/>
                <w:spacing w:val="6"/>
                <w:szCs w:val="21"/>
              </w:rPr>
            </w:pPr>
            <w:r>
              <w:rPr>
                <w:rFonts w:hint="default" w:ascii="Times New Roman" w:hAnsi="Times New Roman" w:eastAsia="国标宋体" w:cs="Times New Roman"/>
                <w:snapToGrid w:val="0"/>
                <w:color w:val="auto"/>
                <w:spacing w:val="6"/>
                <w:szCs w:val="24"/>
              </w:rPr>
              <w:t>公布检验机构有关公正性、独立性、履行保密义务等方面的自我声明，公开检验机构资质和办事程序。</w:t>
            </w:r>
          </w:p>
        </w:tc>
      </w:tr>
      <w:tr w14:paraId="6C760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F848116">
            <w:pPr>
              <w:spacing w:line="240" w:lineRule="auto"/>
              <w:ind w:left="132" w:right="118"/>
              <w:rPr>
                <w:rFonts w:hint="default" w:ascii="Times New Roman" w:hAnsi="Times New Roman" w:eastAsia="国标宋体" w:cs="Times New Roman"/>
                <w:snapToGrid w:val="0"/>
                <w:color w:val="auto"/>
                <w:spacing w:val="6"/>
                <w:szCs w:val="21"/>
                <w:lang w:val="en-US" w:eastAsia="zh-CN"/>
              </w:rPr>
            </w:pPr>
            <w:r>
              <w:rPr>
                <w:rFonts w:hint="default" w:ascii="Times New Roman" w:hAnsi="Times New Roman" w:eastAsia="国标宋体" w:cs="Times New Roman"/>
                <w:snapToGrid w:val="0"/>
                <w:color w:val="auto"/>
                <w:spacing w:val="6"/>
                <w:szCs w:val="24"/>
                <w:lang w:val="en-US" w:eastAsia="zh-CN"/>
              </w:rPr>
              <w:t>6.3 行业自律</w:t>
            </w:r>
          </w:p>
        </w:tc>
        <w:tc>
          <w:tcPr>
            <w:tcW w:w="3569" w:type="pct"/>
            <w:vAlign w:val="center"/>
          </w:tcPr>
          <w:p w14:paraId="391351D2">
            <w:pPr>
              <w:spacing w:line="240" w:lineRule="auto"/>
              <w:ind w:left="132" w:right="118"/>
              <w:rPr>
                <w:rFonts w:hint="default" w:ascii="Times New Roman" w:hAnsi="Times New Roman" w:eastAsia="国标宋体" w:cs="Times New Roman"/>
                <w:snapToGrid w:val="0"/>
                <w:color w:val="auto"/>
                <w:spacing w:val="6"/>
                <w:szCs w:val="21"/>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积极参与特种设备检验行业组织构建的特种设备检验行业诚信管理体系</w:t>
            </w:r>
            <w:r>
              <w:rPr>
                <w:rFonts w:hint="default" w:ascii="Times New Roman" w:hAnsi="Times New Roman" w:eastAsia="国标宋体" w:cs="Times New Roman"/>
                <w:snapToGrid w:val="0"/>
                <w:color w:val="auto"/>
                <w:spacing w:val="6"/>
                <w:szCs w:val="24"/>
                <w:lang w:eastAsia="zh-CN"/>
              </w:rPr>
              <w:t>的文件。</w:t>
            </w:r>
          </w:p>
        </w:tc>
      </w:tr>
      <w:tr w14:paraId="72718E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1430" w:type="pct"/>
            <w:vAlign w:val="center"/>
          </w:tcPr>
          <w:p w14:paraId="3D1151BE">
            <w:pPr>
              <w:spacing w:line="240" w:lineRule="auto"/>
              <w:ind w:left="132" w:right="118"/>
              <w:rPr>
                <w:rFonts w:hint="default" w:ascii="Times New Roman" w:hAnsi="Times New Roman" w:eastAsia="国标宋体" w:cs="Times New Roman"/>
                <w:snapToGrid w:val="0"/>
                <w:color w:val="auto"/>
                <w:spacing w:val="6"/>
                <w:szCs w:val="24"/>
                <w:lang w:val="en-US" w:eastAsia="zh-CN"/>
              </w:rPr>
            </w:pPr>
            <w:r>
              <w:rPr>
                <w:rFonts w:hint="default" w:ascii="Times New Roman" w:hAnsi="Times New Roman" w:eastAsia="国标宋体" w:cs="Times New Roman"/>
                <w:snapToGrid w:val="0"/>
                <w:color w:val="auto"/>
                <w:spacing w:val="6"/>
                <w:szCs w:val="24"/>
                <w:highlight w:val="none"/>
                <w:lang w:val="en-US" w:eastAsia="zh-CN"/>
              </w:rPr>
              <w:t>6.4能力评价</w:t>
            </w:r>
          </w:p>
        </w:tc>
        <w:tc>
          <w:tcPr>
            <w:tcW w:w="3569" w:type="pct"/>
            <w:vAlign w:val="center"/>
          </w:tcPr>
          <w:p w14:paraId="09E91493">
            <w:pPr>
              <w:spacing w:line="240" w:lineRule="auto"/>
              <w:ind w:left="132" w:right="118"/>
              <w:rPr>
                <w:rFonts w:hint="default" w:ascii="Times New Roman" w:hAnsi="Times New Roman" w:eastAsia="国标宋体" w:cs="Times New Roman"/>
                <w:snapToGrid w:val="0"/>
                <w:color w:val="auto"/>
                <w:spacing w:val="6"/>
                <w:szCs w:val="24"/>
                <w:lang w:eastAsia="zh-CN"/>
              </w:rPr>
            </w:pPr>
            <w:r>
              <w:rPr>
                <w:rFonts w:hint="eastAsia" w:eastAsia="国标宋体" w:cs="Times New Roman"/>
                <w:snapToGrid w:val="0"/>
                <w:color w:val="auto"/>
                <w:spacing w:val="6"/>
                <w:szCs w:val="24"/>
                <w:lang w:eastAsia="zh-CN"/>
              </w:rPr>
              <w:t>核查</w:t>
            </w:r>
            <w:r>
              <w:rPr>
                <w:rFonts w:hint="default" w:ascii="Times New Roman" w:hAnsi="Times New Roman" w:eastAsia="国标宋体" w:cs="Times New Roman"/>
                <w:snapToGrid w:val="0"/>
                <w:color w:val="auto"/>
                <w:spacing w:val="6"/>
                <w:szCs w:val="24"/>
              </w:rPr>
              <w:t>积极参加由具有公正性地位的特种设备检验行业组织或者技术机构组织的检验能力评价与验证活动，促进检验能力保持和改进</w:t>
            </w:r>
            <w:r>
              <w:rPr>
                <w:rFonts w:hint="default" w:ascii="Times New Roman" w:hAnsi="Times New Roman" w:eastAsia="国标宋体" w:cs="Times New Roman"/>
                <w:snapToGrid w:val="0"/>
                <w:color w:val="auto"/>
                <w:spacing w:val="6"/>
                <w:szCs w:val="24"/>
                <w:lang w:eastAsia="zh-CN"/>
              </w:rPr>
              <w:t>的文件</w:t>
            </w:r>
            <w:r>
              <w:rPr>
                <w:rFonts w:hint="default" w:ascii="Times New Roman" w:hAnsi="Times New Roman" w:eastAsia="国标宋体" w:cs="Times New Roman"/>
                <w:snapToGrid w:val="0"/>
                <w:color w:val="auto"/>
                <w:spacing w:val="6"/>
                <w:szCs w:val="24"/>
              </w:rPr>
              <w:t>。</w:t>
            </w:r>
          </w:p>
        </w:tc>
      </w:tr>
    </w:tbl>
    <w:p w14:paraId="1CC2903E">
      <w:pPr>
        <w:rPr>
          <w:rFonts w:hint="default" w:ascii="Times New Roman" w:hAnsi="Times New Roman" w:eastAsia="国标宋体" w:cs="Times New Roman"/>
          <w:color w:val="auto"/>
          <w:sz w:val="28"/>
          <w:szCs w:val="21"/>
        </w:rPr>
        <w:sectPr>
          <w:headerReference r:id="rId6" w:type="default"/>
          <w:footerReference r:id="rId7" w:type="default"/>
          <w:pgSz w:w="11906" w:h="16838"/>
          <w:pgMar w:top="1440" w:right="1080" w:bottom="1440" w:left="1080" w:header="801" w:footer="706" w:gutter="0"/>
          <w:pgBorders>
            <w:top w:val="none" w:sz="0" w:space="0"/>
            <w:left w:val="none" w:sz="0" w:space="0"/>
            <w:bottom w:val="none" w:sz="0" w:space="0"/>
            <w:right w:val="none" w:sz="0" w:space="0"/>
          </w:pgBorders>
          <w:pgNumType w:fmt="decimal" w:start="1"/>
          <w:cols w:space="720" w:num="1"/>
        </w:sectPr>
      </w:pPr>
    </w:p>
    <w:p w14:paraId="13E68213">
      <w:pPr>
        <w:pStyle w:val="2"/>
        <w:spacing w:line="360" w:lineRule="auto"/>
        <w:jc w:val="center"/>
        <w:rPr>
          <w:rFonts w:hint="default" w:ascii="Times New Roman" w:hAnsi="Times New Roman" w:eastAsia="国标宋体" w:cs="Times New Roman"/>
          <w:b w:val="0"/>
          <w:bCs/>
          <w:color w:val="auto"/>
          <w:sz w:val="32"/>
          <w:szCs w:val="32"/>
        </w:rPr>
      </w:pPr>
      <w:bookmarkStart w:id="99" w:name="_Toc657676304"/>
      <w:bookmarkStart w:id="100" w:name="_Toc261340567"/>
      <w:bookmarkStart w:id="101" w:name="_Toc119040907"/>
      <w:bookmarkStart w:id="102" w:name="_Toc775408267"/>
      <w:bookmarkStart w:id="103" w:name="_Toc25199"/>
      <w:bookmarkStart w:id="104" w:name="_Toc18280"/>
      <w:bookmarkStart w:id="105" w:name="_Toc12147"/>
      <w:bookmarkStart w:id="106" w:name="_Toc26844"/>
      <w:bookmarkStart w:id="107" w:name="_Toc28471"/>
      <w:r>
        <w:rPr>
          <w:rFonts w:hint="default" w:ascii="Times New Roman" w:hAnsi="Times New Roman" w:eastAsia="国标宋体" w:cs="Times New Roman"/>
          <w:b w:val="0"/>
          <w:bCs/>
          <w:color w:val="auto"/>
          <w:sz w:val="32"/>
          <w:szCs w:val="32"/>
        </w:rPr>
        <w:t>附录C  检验能力</w:t>
      </w:r>
      <w:r>
        <w:rPr>
          <w:rFonts w:hint="default" w:ascii="Times New Roman" w:hAnsi="Times New Roman" w:eastAsia="国标宋体" w:cs="Times New Roman"/>
          <w:b w:val="0"/>
          <w:bCs/>
          <w:color w:val="auto"/>
          <w:sz w:val="32"/>
          <w:szCs w:val="32"/>
          <w:lang w:eastAsia="zh-CN"/>
        </w:rPr>
        <w:t>审查</w:t>
      </w:r>
      <w:r>
        <w:rPr>
          <w:rFonts w:hint="default" w:ascii="Times New Roman" w:hAnsi="Times New Roman" w:eastAsia="国标宋体" w:cs="Times New Roman"/>
          <w:b w:val="0"/>
          <w:bCs/>
          <w:color w:val="auto"/>
          <w:sz w:val="32"/>
          <w:szCs w:val="32"/>
        </w:rPr>
        <w:t>程序及要求</w:t>
      </w:r>
      <w:bookmarkEnd w:id="99"/>
      <w:bookmarkEnd w:id="100"/>
      <w:bookmarkEnd w:id="101"/>
      <w:bookmarkEnd w:id="102"/>
    </w:p>
    <w:p w14:paraId="70D3D86B">
      <w:pPr>
        <w:spacing w:line="408" w:lineRule="auto"/>
        <w:rPr>
          <w:rFonts w:hint="default" w:ascii="Times New Roman" w:hAnsi="Times New Roman" w:eastAsia="国标宋体" w:cs="Times New Roman"/>
          <w:color w:val="auto"/>
          <w:sz w:val="28"/>
          <w:szCs w:val="21"/>
        </w:rPr>
      </w:pPr>
    </w:p>
    <w:p w14:paraId="5F9F7BD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default" w:ascii="Times New Roman" w:hAnsi="Times New Roman" w:eastAsia="国标宋体" w:cs="Times New Roman"/>
          <w:color w:val="auto"/>
          <w:spacing w:val="10"/>
          <w:sz w:val="28"/>
          <w:szCs w:val="28"/>
        </w:rPr>
        <w:t>1</w:t>
      </w:r>
      <w:r>
        <w:rPr>
          <w:rFonts w:hint="default" w:ascii="Times New Roman" w:hAnsi="Times New Roman" w:eastAsia="国标宋体" w:cs="Times New Roman"/>
          <w:color w:val="auto"/>
          <w:spacing w:val="9"/>
          <w:sz w:val="28"/>
          <w:szCs w:val="28"/>
        </w:rPr>
        <w:t xml:space="preserve"> 适用范围</w:t>
      </w:r>
    </w:p>
    <w:p w14:paraId="36E3B0C9">
      <w:pPr>
        <w:adjustRightInd w:val="0"/>
        <w:snapToGrid w:val="0"/>
        <w:spacing w:line="360" w:lineRule="auto"/>
        <w:ind w:firstLine="64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20"/>
          <w:sz w:val="28"/>
          <w:szCs w:val="28"/>
        </w:rPr>
        <w:t>适用</w:t>
      </w:r>
      <w:r>
        <w:rPr>
          <w:rFonts w:hint="default" w:ascii="Times New Roman" w:hAnsi="Times New Roman" w:eastAsia="国标宋体" w:cs="Times New Roman"/>
          <w:color w:val="auto"/>
          <w:spacing w:val="10"/>
          <w:sz w:val="28"/>
          <w:szCs w:val="28"/>
        </w:rPr>
        <w:t>于特种设备检验机构核准时检验能力</w:t>
      </w:r>
      <w:r>
        <w:rPr>
          <w:rFonts w:hint="default" w:ascii="Times New Roman" w:hAnsi="Times New Roman" w:eastAsia="国标宋体" w:cs="Times New Roman"/>
          <w:color w:val="auto"/>
          <w:spacing w:val="10"/>
          <w:sz w:val="28"/>
          <w:szCs w:val="28"/>
          <w:lang w:eastAsia="zh-CN"/>
        </w:rPr>
        <w:t>审查</w:t>
      </w:r>
      <w:r>
        <w:rPr>
          <w:rFonts w:hint="default" w:ascii="Times New Roman" w:hAnsi="Times New Roman" w:eastAsia="国标宋体" w:cs="Times New Roman"/>
          <w:color w:val="auto"/>
          <w:spacing w:val="10"/>
          <w:sz w:val="28"/>
          <w:szCs w:val="28"/>
        </w:rPr>
        <w:t>。</w:t>
      </w:r>
    </w:p>
    <w:p w14:paraId="13912AB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C2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方式</w:t>
      </w:r>
    </w:p>
    <w:p w14:paraId="4FF696B3">
      <w:pPr>
        <w:adjustRightInd w:val="0"/>
        <w:snapToGrid w:val="0"/>
        <w:spacing w:line="360" w:lineRule="auto"/>
        <w:ind w:firstLine="560"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z w:val="28"/>
          <w:szCs w:val="28"/>
        </w:rPr>
        <w:t>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pacing w:val="9"/>
          <w:sz w:val="28"/>
          <w:szCs w:val="28"/>
        </w:rPr>
        <w:t>的方式有报告评价、跟踪检验过程、采信能力验证结果</w:t>
      </w:r>
      <w:r>
        <w:rPr>
          <w:rFonts w:hint="default" w:ascii="Times New Roman" w:hAnsi="Times New Roman" w:eastAsia="国标宋体" w:cs="Times New Roman"/>
          <w:color w:val="auto"/>
          <w:szCs w:val="24"/>
          <w:vertAlign w:val="superscript"/>
          <w:lang w:eastAsia="zh-CN"/>
        </w:rPr>
        <w:t>注</w:t>
      </w:r>
      <w:r>
        <w:rPr>
          <w:rStyle w:val="19"/>
          <w:rFonts w:hint="default" w:ascii="Times New Roman" w:hAnsi="Times New Roman" w:eastAsia="国标宋体" w:cs="Times New Roman"/>
          <w:color w:val="auto"/>
          <w:szCs w:val="24"/>
        </w:rPr>
        <w:footnoteReference w:id="5"/>
      </w:r>
      <w:r>
        <w:rPr>
          <w:rFonts w:hint="default" w:ascii="Times New Roman" w:hAnsi="Times New Roman" w:eastAsia="国标宋体" w:cs="Times New Roman"/>
          <w:color w:val="auto"/>
          <w:spacing w:val="9"/>
          <w:sz w:val="28"/>
          <w:szCs w:val="28"/>
        </w:rPr>
        <w:t>等方式</w:t>
      </w:r>
      <w:r>
        <w:rPr>
          <w:rFonts w:hint="default" w:ascii="Times New Roman" w:hAnsi="Times New Roman" w:eastAsia="国标宋体" w:cs="Times New Roman"/>
          <w:color w:val="auto"/>
          <w:spacing w:val="4"/>
          <w:sz w:val="28"/>
          <w:szCs w:val="28"/>
        </w:rPr>
        <w:t>。</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提交的资料符合要求后，需根据表1所规定的检验能力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方式准备相关的材料。</w:t>
      </w:r>
    </w:p>
    <w:p w14:paraId="64C2072C">
      <w:pPr>
        <w:numPr>
          <w:ilvl w:val="255"/>
          <w:numId w:val="0"/>
        </w:numPr>
        <w:snapToGrid w:val="0"/>
        <w:spacing w:line="360" w:lineRule="auto"/>
        <w:ind w:firstLine="560" w:firstLineChars="200"/>
        <w:jc w:val="center"/>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表1 检验能力审查方式</w:t>
      </w:r>
    </w:p>
    <w:tbl>
      <w:tblPr>
        <w:tblStyle w:val="13"/>
        <w:tblW w:w="51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40"/>
        <w:gridCol w:w="1484"/>
        <w:gridCol w:w="4166"/>
        <w:gridCol w:w="3863"/>
      </w:tblGrid>
      <w:tr w14:paraId="6BEC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1" w:type="pct"/>
            <w:vMerge w:val="restart"/>
            <w:vAlign w:val="center"/>
          </w:tcPr>
          <w:p w14:paraId="2687F52A">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序号</w:t>
            </w:r>
          </w:p>
        </w:tc>
        <w:tc>
          <w:tcPr>
            <w:tcW w:w="745" w:type="pct"/>
            <w:vMerge w:val="restart"/>
            <w:vAlign w:val="center"/>
          </w:tcPr>
          <w:p w14:paraId="3A604643">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申请项目</w:t>
            </w:r>
          </w:p>
        </w:tc>
        <w:tc>
          <w:tcPr>
            <w:tcW w:w="4032" w:type="pct"/>
            <w:gridSpan w:val="2"/>
            <w:vAlign w:val="center"/>
          </w:tcPr>
          <w:p w14:paraId="6E3E66FF">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审查方式</w:t>
            </w:r>
          </w:p>
        </w:tc>
      </w:tr>
      <w:tr w14:paraId="6D830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221" w:type="pct"/>
            <w:vMerge w:val="continue"/>
            <w:vAlign w:val="center"/>
          </w:tcPr>
          <w:p w14:paraId="14B92AEB">
            <w:pPr>
              <w:autoSpaceDE w:val="0"/>
              <w:autoSpaceDN w:val="0"/>
              <w:snapToGrid w:val="0"/>
              <w:jc w:val="center"/>
              <w:rPr>
                <w:rFonts w:hint="default" w:ascii="Times New Roman" w:hAnsi="Times New Roman" w:eastAsia="国标宋体" w:cs="Times New Roman"/>
                <w:color w:val="auto"/>
                <w:szCs w:val="24"/>
              </w:rPr>
            </w:pPr>
          </w:p>
        </w:tc>
        <w:tc>
          <w:tcPr>
            <w:tcW w:w="745" w:type="pct"/>
            <w:vMerge w:val="continue"/>
            <w:vAlign w:val="center"/>
          </w:tcPr>
          <w:p w14:paraId="4C46DCFA">
            <w:pPr>
              <w:autoSpaceDE w:val="0"/>
              <w:autoSpaceDN w:val="0"/>
              <w:snapToGrid w:val="0"/>
              <w:jc w:val="center"/>
              <w:rPr>
                <w:rFonts w:hint="default" w:ascii="Times New Roman" w:hAnsi="Times New Roman" w:eastAsia="国标宋体" w:cs="Times New Roman"/>
                <w:color w:val="auto"/>
                <w:szCs w:val="24"/>
              </w:rPr>
            </w:pPr>
          </w:p>
        </w:tc>
        <w:tc>
          <w:tcPr>
            <w:tcW w:w="2092" w:type="pct"/>
            <w:vAlign w:val="center"/>
          </w:tcPr>
          <w:p w14:paraId="4AD87574">
            <w:pPr>
              <w:autoSpaceDE w:val="0"/>
              <w:autoSpaceDN w:val="0"/>
              <w:snapToGrid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首次核准、增项核准</w:t>
            </w:r>
          </w:p>
        </w:tc>
        <w:tc>
          <w:tcPr>
            <w:tcW w:w="1940" w:type="pct"/>
            <w:vAlign w:val="center"/>
          </w:tcPr>
          <w:p w14:paraId="2216BC03">
            <w:pPr>
              <w:autoSpaceDE w:val="0"/>
              <w:autoSpaceDN w:val="0"/>
              <w:snapToGrid w:val="0"/>
              <w:jc w:val="center"/>
              <w:rPr>
                <w:rFonts w:hint="eastAsia" w:ascii="Times New Roman" w:hAnsi="Times New Roman" w:eastAsia="国标宋体" w:cs="Times New Roman"/>
                <w:color w:val="auto"/>
                <w:szCs w:val="24"/>
                <w:lang w:eastAsia="zh-CN"/>
              </w:rPr>
            </w:pPr>
            <w:r>
              <w:rPr>
                <w:rFonts w:hint="default" w:ascii="Times New Roman" w:hAnsi="Times New Roman" w:eastAsia="国标宋体" w:cs="Times New Roman"/>
                <w:color w:val="auto"/>
                <w:szCs w:val="24"/>
              </w:rPr>
              <w:t>延续核准</w:t>
            </w:r>
            <w:r>
              <w:rPr>
                <w:rFonts w:hint="eastAsia" w:eastAsia="国标宋体" w:cs="Times New Roman"/>
                <w:color w:val="auto"/>
                <w:szCs w:val="24"/>
                <w:lang w:eastAsia="zh-CN"/>
              </w:rPr>
              <w:t>、</w:t>
            </w:r>
            <w:r>
              <w:rPr>
                <w:rFonts w:hint="default" w:ascii="Times New Roman" w:hAnsi="Times New Roman" w:eastAsia="国标宋体" w:cs="Times New Roman"/>
                <w:color w:val="auto"/>
                <w:szCs w:val="24"/>
              </w:rPr>
              <w:t>变更</w:t>
            </w:r>
            <w:r>
              <w:rPr>
                <w:rFonts w:hint="eastAsia" w:eastAsia="国标宋体" w:cs="Times New Roman"/>
                <w:color w:val="auto"/>
                <w:szCs w:val="24"/>
                <w:lang w:eastAsia="zh-CN"/>
              </w:rPr>
              <w:t>核准</w:t>
            </w:r>
          </w:p>
        </w:tc>
      </w:tr>
      <w:tr w14:paraId="0E28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1E052C66">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1</w:t>
            </w:r>
          </w:p>
        </w:tc>
        <w:tc>
          <w:tcPr>
            <w:tcW w:w="745" w:type="pct"/>
            <w:vAlign w:val="center"/>
          </w:tcPr>
          <w:p w14:paraId="73415942">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GD2</w:t>
            </w:r>
          </w:p>
        </w:tc>
        <w:tc>
          <w:tcPr>
            <w:tcW w:w="2092" w:type="pct"/>
            <w:vAlign w:val="center"/>
          </w:tcPr>
          <w:p w14:paraId="6729C46F">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6E67484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 w:val="24"/>
                <w:szCs w:val="24"/>
              </w:rPr>
              <w:t>报告评价、跟踪检验过程</w:t>
            </w:r>
          </w:p>
        </w:tc>
      </w:tr>
      <w:tr w14:paraId="0955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63AC19C8">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2</w:t>
            </w:r>
          </w:p>
        </w:tc>
        <w:tc>
          <w:tcPr>
            <w:tcW w:w="745" w:type="pct"/>
            <w:vAlign w:val="center"/>
          </w:tcPr>
          <w:p w14:paraId="15BB6CE0">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GD3</w:t>
            </w:r>
          </w:p>
        </w:tc>
        <w:tc>
          <w:tcPr>
            <w:tcW w:w="2092" w:type="pct"/>
            <w:vAlign w:val="center"/>
          </w:tcPr>
          <w:p w14:paraId="59577308">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7BF415CA">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1F81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14C8960E">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3</w:t>
            </w:r>
          </w:p>
        </w:tc>
        <w:tc>
          <w:tcPr>
            <w:tcW w:w="745" w:type="pct"/>
            <w:vAlign w:val="center"/>
          </w:tcPr>
          <w:p w14:paraId="2DB397DB">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RD2</w:t>
            </w:r>
          </w:p>
        </w:tc>
        <w:tc>
          <w:tcPr>
            <w:tcW w:w="2092" w:type="pct"/>
            <w:vAlign w:val="center"/>
          </w:tcPr>
          <w:p w14:paraId="4DDCEE2C">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537228FD">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6D41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2A80C199">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4</w:t>
            </w:r>
          </w:p>
        </w:tc>
        <w:tc>
          <w:tcPr>
            <w:tcW w:w="745" w:type="pct"/>
            <w:vAlign w:val="center"/>
          </w:tcPr>
          <w:p w14:paraId="79255860">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RD3</w:t>
            </w:r>
          </w:p>
        </w:tc>
        <w:tc>
          <w:tcPr>
            <w:tcW w:w="2092" w:type="pct"/>
            <w:vAlign w:val="center"/>
          </w:tcPr>
          <w:p w14:paraId="730DC8C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136F0299">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4FED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2FCC6FB5">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5</w:t>
            </w:r>
          </w:p>
        </w:tc>
        <w:tc>
          <w:tcPr>
            <w:tcW w:w="745" w:type="pct"/>
            <w:vAlign w:val="center"/>
          </w:tcPr>
          <w:p w14:paraId="256EDB36">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RD6</w:t>
            </w:r>
          </w:p>
        </w:tc>
        <w:tc>
          <w:tcPr>
            <w:tcW w:w="2092" w:type="pct"/>
            <w:vAlign w:val="center"/>
          </w:tcPr>
          <w:p w14:paraId="69C8E469">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1940" w:type="pct"/>
            <w:vAlign w:val="center"/>
          </w:tcPr>
          <w:p w14:paraId="70AA14DE">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4DBEC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0812B87F">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6</w:t>
            </w:r>
          </w:p>
        </w:tc>
        <w:tc>
          <w:tcPr>
            <w:tcW w:w="745" w:type="pct"/>
            <w:vAlign w:val="center"/>
          </w:tcPr>
          <w:p w14:paraId="0296FB26">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DD1</w:t>
            </w:r>
          </w:p>
        </w:tc>
        <w:tc>
          <w:tcPr>
            <w:tcW w:w="2092" w:type="pct"/>
            <w:vAlign w:val="center"/>
          </w:tcPr>
          <w:p w14:paraId="5C3EC6A0">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6603BEF0">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0B763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18334320">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7</w:t>
            </w:r>
          </w:p>
        </w:tc>
        <w:tc>
          <w:tcPr>
            <w:tcW w:w="745" w:type="pct"/>
            <w:vAlign w:val="center"/>
          </w:tcPr>
          <w:p w14:paraId="4D5FEE9E">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DD2</w:t>
            </w:r>
          </w:p>
        </w:tc>
        <w:tc>
          <w:tcPr>
            <w:tcW w:w="2092" w:type="pct"/>
            <w:vAlign w:val="center"/>
          </w:tcPr>
          <w:p w14:paraId="42D8AAA1">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7397CE0C">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6C4C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79E1CAE9">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8</w:t>
            </w:r>
          </w:p>
        </w:tc>
        <w:tc>
          <w:tcPr>
            <w:tcW w:w="745" w:type="pct"/>
            <w:vAlign w:val="center"/>
          </w:tcPr>
          <w:p w14:paraId="5BCA0F72">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DD3</w:t>
            </w:r>
          </w:p>
        </w:tc>
        <w:tc>
          <w:tcPr>
            <w:tcW w:w="2092" w:type="pct"/>
            <w:vAlign w:val="center"/>
          </w:tcPr>
          <w:p w14:paraId="521379A1">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44A3BF5F">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4E15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4A94AB76">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9</w:t>
            </w:r>
          </w:p>
        </w:tc>
        <w:tc>
          <w:tcPr>
            <w:tcW w:w="745" w:type="pct"/>
            <w:vAlign w:val="center"/>
          </w:tcPr>
          <w:p w14:paraId="73771647">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QD2</w:t>
            </w:r>
          </w:p>
        </w:tc>
        <w:tc>
          <w:tcPr>
            <w:tcW w:w="2092" w:type="pct"/>
            <w:vAlign w:val="center"/>
          </w:tcPr>
          <w:p w14:paraId="5D058ECA">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7CABA129">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69765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0413FFD5">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10</w:t>
            </w:r>
          </w:p>
        </w:tc>
        <w:tc>
          <w:tcPr>
            <w:tcW w:w="745" w:type="pct"/>
            <w:vAlign w:val="center"/>
          </w:tcPr>
          <w:p w14:paraId="29F92773">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QD3</w:t>
            </w:r>
          </w:p>
        </w:tc>
        <w:tc>
          <w:tcPr>
            <w:tcW w:w="2092" w:type="pct"/>
            <w:vAlign w:val="center"/>
          </w:tcPr>
          <w:p w14:paraId="54A956A7">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p>
        </w:tc>
        <w:tc>
          <w:tcPr>
            <w:tcW w:w="1940" w:type="pct"/>
            <w:vAlign w:val="center"/>
          </w:tcPr>
          <w:p w14:paraId="56923050">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r w14:paraId="7632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24" w:hRule="exact"/>
          <w:jc w:val="center"/>
        </w:trPr>
        <w:tc>
          <w:tcPr>
            <w:tcW w:w="221" w:type="pct"/>
            <w:vAlign w:val="center"/>
          </w:tcPr>
          <w:p w14:paraId="0304DBB6">
            <w:pPr>
              <w:keepNext w:val="0"/>
              <w:keepLines w:val="0"/>
              <w:widowControl/>
              <w:suppressLineNumbers w:val="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kern w:val="0"/>
                <w:sz w:val="24"/>
                <w:szCs w:val="24"/>
                <w:lang w:val="en-US" w:eastAsia="zh-CN" w:bidi="ar"/>
              </w:rPr>
              <w:t>11</w:t>
            </w:r>
          </w:p>
        </w:tc>
        <w:tc>
          <w:tcPr>
            <w:tcW w:w="745" w:type="pct"/>
            <w:vAlign w:val="center"/>
          </w:tcPr>
          <w:p w14:paraId="0854F4AF">
            <w:pPr>
              <w:keepNext w:val="0"/>
              <w:keepLines w:val="0"/>
              <w:widowControl/>
              <w:suppressLineNumbers w:val="0"/>
              <w:jc w:val="center"/>
              <w:rPr>
                <w:rFonts w:hint="default" w:ascii="Times New Roman" w:hAnsi="Times New Roman" w:eastAsia="国标宋体" w:cs="Times New Roman"/>
                <w:color w:val="auto"/>
                <w:szCs w:val="24"/>
                <w:lang w:val="en-US" w:eastAsia="zh-CN"/>
              </w:rPr>
            </w:pPr>
            <w:r>
              <w:rPr>
                <w:rFonts w:hint="default" w:ascii="Times New Roman" w:hAnsi="Times New Roman" w:eastAsia="国标宋体" w:cs="Times New Roman"/>
                <w:color w:val="auto"/>
                <w:kern w:val="0"/>
                <w:sz w:val="24"/>
                <w:szCs w:val="24"/>
                <w:lang w:val="en-US" w:eastAsia="zh-CN" w:bidi="ar"/>
              </w:rPr>
              <w:t>ND1</w:t>
            </w:r>
          </w:p>
        </w:tc>
        <w:tc>
          <w:tcPr>
            <w:tcW w:w="2092" w:type="pct"/>
            <w:vAlign w:val="center"/>
          </w:tcPr>
          <w:p w14:paraId="135ADA54">
            <w:pPr>
              <w:autoSpaceDE w:val="0"/>
              <w:autoSpaceDN w:val="0"/>
              <w:snapToGrid w:val="0"/>
              <w:ind w:left="120" w:leftChars="50" w:right="120" w:rightChars="50"/>
              <w:jc w:val="center"/>
              <w:rPr>
                <w:rFonts w:hint="default" w:ascii="Times New Roman" w:hAnsi="Times New Roman" w:eastAsia="国标宋体" w:cs="Times New Roman"/>
                <w:color w:val="auto"/>
                <w:szCs w:val="24"/>
              </w:rPr>
            </w:pPr>
            <w:r>
              <w:rPr>
                <w:rFonts w:hint="default" w:ascii="Times New Roman" w:hAnsi="Times New Roman" w:eastAsia="国标宋体" w:cs="Times New Roman"/>
                <w:color w:val="auto"/>
                <w:szCs w:val="24"/>
              </w:rPr>
              <w:t>跟踪检验过程</w:t>
            </w:r>
            <w:r>
              <w:rPr>
                <w:rFonts w:hint="default" w:ascii="Times New Roman" w:hAnsi="Times New Roman" w:eastAsia="国标宋体" w:cs="Times New Roman"/>
                <w:color w:val="auto"/>
                <w:szCs w:val="24"/>
                <w:lang w:val="en-US" w:eastAsia="zh-CN"/>
              </w:rPr>
              <w:t>或</w:t>
            </w:r>
            <w:r>
              <w:rPr>
                <w:rFonts w:hint="default" w:ascii="Times New Roman" w:hAnsi="Times New Roman" w:eastAsia="国标宋体" w:cs="Times New Roman"/>
                <w:color w:val="auto"/>
                <w:szCs w:val="24"/>
              </w:rPr>
              <w:t>采信能力验证结果</w:t>
            </w:r>
          </w:p>
        </w:tc>
        <w:tc>
          <w:tcPr>
            <w:tcW w:w="1940" w:type="pct"/>
            <w:vAlign w:val="center"/>
          </w:tcPr>
          <w:p w14:paraId="7E349CE9">
            <w:pPr>
              <w:autoSpaceDE w:val="0"/>
              <w:autoSpaceDN w:val="0"/>
              <w:snapToGrid w:val="0"/>
              <w:ind w:left="120" w:leftChars="50" w:right="120" w:rightChars="50"/>
              <w:jc w:val="center"/>
              <w:rPr>
                <w:rFonts w:hint="default" w:ascii="Times New Roman" w:hAnsi="Times New Roman" w:eastAsia="国标宋体" w:cs="Times New Roman"/>
                <w:color w:val="auto"/>
                <w:sz w:val="24"/>
                <w:szCs w:val="24"/>
              </w:rPr>
            </w:pPr>
            <w:r>
              <w:rPr>
                <w:rFonts w:hint="default" w:ascii="Times New Roman" w:hAnsi="Times New Roman" w:eastAsia="国标宋体" w:cs="Times New Roman"/>
                <w:color w:val="auto"/>
                <w:sz w:val="24"/>
                <w:szCs w:val="24"/>
              </w:rPr>
              <w:t>报告评价、跟踪检验过程</w:t>
            </w:r>
          </w:p>
        </w:tc>
      </w:tr>
    </w:tbl>
    <w:p w14:paraId="3D298C50">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C3 </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z w:val="28"/>
          <w:szCs w:val="28"/>
        </w:rPr>
        <w:t>要求</w:t>
      </w:r>
    </w:p>
    <w:p w14:paraId="213074F0">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eastAsia" w:eastAsia="国标宋体" w:cs="Times New Roman"/>
          <w:color w:val="auto"/>
          <w:spacing w:val="9"/>
          <w:sz w:val="28"/>
          <w:szCs w:val="28"/>
          <w:lang w:eastAsia="zh-CN"/>
        </w:rPr>
        <w:t>省质量审评中心向申请单位确认申请核准类型及项目，并明确相关事宜</w:t>
      </w:r>
      <w:r>
        <w:rPr>
          <w:rFonts w:hint="default" w:ascii="Times New Roman" w:hAnsi="Times New Roman" w:eastAsia="国标宋体" w:cs="Times New Roman"/>
          <w:color w:val="auto"/>
          <w:spacing w:val="9"/>
          <w:sz w:val="28"/>
          <w:szCs w:val="28"/>
        </w:rPr>
        <w:t>。</w:t>
      </w:r>
    </w:p>
    <w:p w14:paraId="6337455A">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C3.1 报告评价</w:t>
      </w:r>
    </w:p>
    <w:p w14:paraId="25409294">
      <w:pPr>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延续核准的申请项目采取报告评价的方式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eastAsia" w:eastAsia="国标宋体" w:cs="Times New Roman"/>
          <w:color w:val="auto"/>
          <w:spacing w:val="9"/>
          <w:sz w:val="28"/>
          <w:szCs w:val="28"/>
          <w:lang w:eastAsia="zh-CN"/>
        </w:rPr>
        <w:t>评审组</w:t>
      </w:r>
      <w:r>
        <w:rPr>
          <w:rFonts w:hint="default" w:ascii="Times New Roman" w:hAnsi="Times New Roman" w:eastAsia="国标宋体" w:cs="Times New Roman"/>
          <w:color w:val="auto"/>
          <w:spacing w:val="9"/>
          <w:sz w:val="28"/>
          <w:szCs w:val="28"/>
        </w:rPr>
        <w:t>应当</w:t>
      </w: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9"/>
          <w:sz w:val="28"/>
          <w:szCs w:val="28"/>
        </w:rPr>
        <w:t>4年内的每个申请项目的</w:t>
      </w:r>
      <w:r>
        <w:rPr>
          <w:rFonts w:hint="default" w:ascii="Times New Roman" w:hAnsi="Times New Roman" w:eastAsia="国标宋体" w:cs="Times New Roman"/>
          <w:color w:val="auto"/>
          <w:spacing w:val="9"/>
          <w:sz w:val="28"/>
          <w:szCs w:val="28"/>
          <w:highlight w:val="none"/>
        </w:rPr>
        <w:t>检验报告</w:t>
      </w:r>
      <w:r>
        <w:rPr>
          <w:rFonts w:hint="default" w:ascii="Times New Roman" w:hAnsi="Times New Roman" w:eastAsia="国标宋体" w:cs="Times New Roman"/>
          <w:color w:val="auto"/>
          <w:spacing w:val="9"/>
          <w:sz w:val="28"/>
          <w:szCs w:val="28"/>
          <w:highlight w:val="none"/>
          <w:lang w:val="en-US" w:eastAsia="zh-CN"/>
        </w:rPr>
        <w:t>目录</w:t>
      </w:r>
      <w:r>
        <w:rPr>
          <w:rFonts w:hint="default" w:ascii="Times New Roman" w:hAnsi="Times New Roman" w:eastAsia="国标宋体" w:cs="Times New Roman"/>
          <w:color w:val="auto"/>
          <w:spacing w:val="9"/>
          <w:sz w:val="28"/>
          <w:szCs w:val="28"/>
        </w:rPr>
        <w:t>。</w:t>
      </w:r>
    </w:p>
    <w:p w14:paraId="06A49DB2">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9"/>
          <w:sz w:val="28"/>
          <w:szCs w:val="28"/>
          <w:lang w:eastAsia="zh-CN"/>
        </w:rPr>
        <w:t>核查</w:t>
      </w:r>
      <w:r>
        <w:rPr>
          <w:rFonts w:hint="default" w:ascii="Times New Roman" w:hAnsi="Times New Roman" w:eastAsia="国标宋体" w:cs="Times New Roman"/>
          <w:color w:val="auto"/>
          <w:spacing w:val="8"/>
          <w:sz w:val="28"/>
          <w:szCs w:val="28"/>
          <w:lang w:eastAsia="zh-CN"/>
        </w:rPr>
        <w:t>的检验报告应当满足以下要求</w:t>
      </w:r>
      <w:r>
        <w:rPr>
          <w:rFonts w:hint="default" w:ascii="Times New Roman" w:hAnsi="Times New Roman" w:eastAsia="国标宋体" w:cs="Times New Roman"/>
          <w:color w:val="auto"/>
          <w:spacing w:val="8"/>
          <w:sz w:val="28"/>
          <w:szCs w:val="28"/>
        </w:rPr>
        <w:t>：</w:t>
      </w:r>
    </w:p>
    <w:p w14:paraId="7A9F50AB">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凡涉及新颁布安全技术规范的项目，应尽可能选取新规范实施后，所出具的检验报告。</w:t>
      </w:r>
    </w:p>
    <w:p w14:paraId="5E488EE5">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选取的检验报告尽量涉及不同的检验检测人员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highlight w:val="none"/>
          <w:lang w:val="en-US" w:eastAsia="zh-CN"/>
        </w:rPr>
        <w:t>应覆盖不少于70%的在职</w:t>
      </w:r>
      <w:r>
        <w:rPr>
          <w:rFonts w:hint="default" w:ascii="Times New Roman" w:hAnsi="Times New Roman" w:eastAsia="国标宋体" w:cs="Times New Roman"/>
          <w:color w:val="auto"/>
          <w:spacing w:val="8"/>
          <w:sz w:val="28"/>
          <w:szCs w:val="28"/>
        </w:rPr>
        <w:t>检验检测人员</w:t>
      </w:r>
      <w:r>
        <w:rPr>
          <w:rFonts w:hint="default" w:ascii="Times New Roman" w:hAnsi="Times New Roman"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w:t>
      </w:r>
    </w:p>
    <w:p w14:paraId="562410B2">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lang w:eastAsia="zh-CN"/>
        </w:rPr>
        <w:t>应包含自上一个周期以来每个申请项目（含子项目）最高参数检验报告</w:t>
      </w:r>
      <w:r>
        <w:rPr>
          <w:rFonts w:hint="default" w:ascii="Times New Roman" w:hAnsi="Times New Roman" w:eastAsia="国标宋体" w:cs="Times New Roman"/>
          <w:color w:val="auto"/>
          <w:spacing w:val="8"/>
          <w:sz w:val="28"/>
          <w:szCs w:val="28"/>
        </w:rPr>
        <w:t>。</w:t>
      </w:r>
    </w:p>
    <w:p w14:paraId="05FA5F44">
      <w:pPr>
        <w:spacing w:line="360" w:lineRule="auto"/>
        <w:ind w:firstLine="452"/>
        <w:jc w:val="left"/>
        <w:rPr>
          <w:rFonts w:hint="default" w:ascii="Times New Roman" w:hAnsi="Times New Roman" w:eastAsia="国标宋体" w:cs="Times New Roman"/>
          <w:color w:val="auto"/>
          <w:spacing w:val="8"/>
          <w:sz w:val="28"/>
          <w:szCs w:val="28"/>
        </w:rPr>
      </w:pPr>
      <w:r>
        <w:rPr>
          <w:rFonts w:hint="eastAsia" w:eastAsia="国标宋体" w:cs="Times New Roman"/>
          <w:color w:val="auto"/>
          <w:spacing w:val="8"/>
          <w:sz w:val="28"/>
          <w:szCs w:val="28"/>
          <w:lang w:eastAsia="zh-CN"/>
        </w:rPr>
        <w:t>——</w:t>
      </w:r>
      <w:r>
        <w:rPr>
          <w:rFonts w:hint="default" w:ascii="Times New Roman" w:hAnsi="Times New Roman" w:eastAsia="国标宋体" w:cs="Times New Roman"/>
          <w:color w:val="auto"/>
          <w:spacing w:val="8"/>
          <w:sz w:val="28"/>
          <w:szCs w:val="28"/>
        </w:rPr>
        <w:t>尽可能包括各种检验结论。</w:t>
      </w:r>
    </w:p>
    <w:p w14:paraId="1FF257A4">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 跟踪检验过程</w:t>
      </w:r>
    </w:p>
    <w:p w14:paraId="600B960E">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C3.2.1 准备工作</w:t>
      </w:r>
    </w:p>
    <w:p w14:paraId="46BFF87B">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highlight w:val="none"/>
        </w:rPr>
        <w:t>当申请核准项目采取跟踪检验过程的方式</w:t>
      </w:r>
      <w:r>
        <w:rPr>
          <w:rFonts w:hint="default" w:ascii="Times New Roman" w:hAnsi="Times New Roman" w:eastAsia="国标宋体" w:cs="Times New Roman"/>
          <w:color w:val="auto"/>
          <w:spacing w:val="9"/>
          <w:sz w:val="28"/>
          <w:szCs w:val="28"/>
          <w:highlight w:val="none"/>
          <w:lang w:eastAsia="zh-CN"/>
        </w:rPr>
        <w:t>审查</w:t>
      </w:r>
      <w:r>
        <w:rPr>
          <w:rFonts w:hint="default" w:ascii="Times New Roman" w:hAnsi="Times New Roman" w:eastAsia="国标宋体" w:cs="Times New Roman"/>
          <w:color w:val="auto"/>
          <w:spacing w:val="9"/>
          <w:sz w:val="28"/>
          <w:szCs w:val="28"/>
          <w:highlight w:val="none"/>
        </w:rPr>
        <w:t>检验能力时，</w:t>
      </w:r>
      <w:r>
        <w:rPr>
          <w:rFonts w:hint="default" w:ascii="Times New Roman" w:hAnsi="Times New Roman" w:eastAsia="国标宋体" w:cs="Times New Roman"/>
          <w:color w:val="auto"/>
          <w:spacing w:val="9"/>
          <w:sz w:val="28"/>
          <w:szCs w:val="28"/>
          <w:highlight w:val="none"/>
          <w:lang w:val="en-US" w:eastAsia="zh-CN"/>
        </w:rPr>
        <w:t>应当选取申请核准项目中最高参数且具备全面考察申请单位检验能力的受检设备进行跟踪。</w:t>
      </w:r>
      <w:r>
        <w:rPr>
          <w:rFonts w:hint="default" w:ascii="Times New Roman" w:hAnsi="Times New Roman" w:eastAsia="国标宋体" w:cs="Times New Roman"/>
          <w:color w:val="auto"/>
          <w:spacing w:val="9"/>
          <w:sz w:val="28"/>
          <w:szCs w:val="28"/>
          <w:highlight w:val="none"/>
          <w:lang w:eastAsia="zh-CN"/>
        </w:rPr>
        <w:t>省质量审评中</w:t>
      </w:r>
      <w:r>
        <w:rPr>
          <w:rFonts w:hint="default" w:ascii="Times New Roman" w:hAnsi="Times New Roman" w:eastAsia="国标宋体" w:cs="Times New Roman"/>
          <w:color w:val="auto"/>
          <w:spacing w:val="9"/>
          <w:sz w:val="28"/>
          <w:szCs w:val="28"/>
          <w:lang w:eastAsia="zh-CN"/>
        </w:rPr>
        <w:t>心</w:t>
      </w:r>
      <w:r>
        <w:rPr>
          <w:rFonts w:hint="default" w:ascii="Times New Roman" w:hAnsi="Times New Roman" w:eastAsia="国标宋体" w:cs="Times New Roman"/>
          <w:color w:val="auto"/>
          <w:spacing w:val="9"/>
          <w:sz w:val="28"/>
          <w:szCs w:val="28"/>
          <w:highlight w:val="none"/>
        </w:rPr>
        <w:t>与</w:t>
      </w:r>
      <w:r>
        <w:rPr>
          <w:rFonts w:hint="default" w:ascii="Times New Roman" w:hAnsi="Times New Roman" w:eastAsia="国标宋体" w:cs="Times New Roman"/>
          <w:color w:val="auto"/>
          <w:spacing w:val="9"/>
          <w:sz w:val="28"/>
          <w:szCs w:val="28"/>
          <w:highlight w:val="none"/>
          <w:lang w:eastAsia="zh-CN"/>
        </w:rPr>
        <w:t>申请单位</w:t>
      </w:r>
      <w:r>
        <w:rPr>
          <w:rFonts w:hint="default" w:ascii="Times New Roman" w:hAnsi="Times New Roman" w:eastAsia="国标宋体" w:cs="Times New Roman"/>
          <w:color w:val="auto"/>
          <w:spacing w:val="9"/>
          <w:sz w:val="28"/>
          <w:szCs w:val="28"/>
        </w:rPr>
        <w:t>确认</w:t>
      </w:r>
      <w:r>
        <w:rPr>
          <w:rFonts w:hint="default" w:ascii="Times New Roman" w:hAnsi="Times New Roman" w:eastAsia="国标宋体" w:cs="Times New Roman"/>
          <w:color w:val="auto"/>
          <w:spacing w:val="9"/>
          <w:sz w:val="28"/>
          <w:szCs w:val="28"/>
          <w:highlight w:val="none"/>
          <w:lang w:eastAsia="zh-CN"/>
        </w:rPr>
        <w:t>提前做好</w:t>
      </w:r>
      <w:r>
        <w:rPr>
          <w:rFonts w:hint="default" w:ascii="Times New Roman" w:hAnsi="Times New Roman" w:eastAsia="国标宋体" w:cs="Times New Roman"/>
          <w:color w:val="auto"/>
          <w:spacing w:val="9"/>
          <w:sz w:val="28"/>
          <w:szCs w:val="28"/>
          <w:highlight w:val="none"/>
        </w:rPr>
        <w:t>相关项目的前期准备工作</w:t>
      </w:r>
      <w:r>
        <w:rPr>
          <w:rFonts w:hint="default" w:ascii="Times New Roman" w:hAnsi="Times New Roman" w:eastAsia="国标宋体" w:cs="Times New Roman"/>
          <w:color w:val="auto"/>
          <w:spacing w:val="9"/>
          <w:sz w:val="28"/>
          <w:szCs w:val="28"/>
        </w:rPr>
        <w:t>：</w:t>
      </w:r>
    </w:p>
    <w:p w14:paraId="661C5BA4">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6"/>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6"/>
          <w:sz w:val="28"/>
          <w:szCs w:val="28"/>
        </w:rPr>
        <w:t>的时间</w:t>
      </w:r>
      <w:r>
        <w:rPr>
          <w:rFonts w:hint="default" w:ascii="Times New Roman" w:hAnsi="Times New Roman" w:eastAsia="国标宋体" w:cs="Times New Roman"/>
          <w:color w:val="auto"/>
          <w:spacing w:val="6"/>
          <w:sz w:val="28"/>
          <w:szCs w:val="28"/>
          <w:lang w:eastAsia="zh-CN"/>
        </w:rPr>
        <w:t>、</w:t>
      </w:r>
      <w:r>
        <w:rPr>
          <w:rFonts w:hint="default" w:ascii="Times New Roman" w:hAnsi="Times New Roman" w:eastAsia="国标宋体" w:cs="Times New Roman"/>
          <w:color w:val="auto"/>
          <w:spacing w:val="3"/>
          <w:sz w:val="28"/>
          <w:szCs w:val="28"/>
        </w:rPr>
        <w:t>地点</w:t>
      </w:r>
      <w:r>
        <w:rPr>
          <w:rFonts w:hint="default" w:ascii="Times New Roman" w:hAnsi="Times New Roman" w:eastAsia="国标宋体" w:cs="Times New Roman"/>
          <w:color w:val="auto"/>
          <w:spacing w:val="6"/>
          <w:sz w:val="28"/>
          <w:szCs w:val="28"/>
        </w:rPr>
        <w:t>。</w:t>
      </w:r>
    </w:p>
    <w:p w14:paraId="0BCDB0F1">
      <w:pPr>
        <w:keepNext w:val="0"/>
        <w:keepLines w:val="0"/>
        <w:pageBreakBefore w:val="0"/>
        <w:widowControl w:val="0"/>
        <w:kinsoku/>
        <w:wordWrap/>
        <w:overflowPunct/>
        <w:topLinePunct w:val="0"/>
        <w:autoSpaceDE/>
        <w:autoSpaceDN/>
        <w:bidi w:val="0"/>
        <w:adjustRightInd w:val="0"/>
        <w:snapToGrid w:val="0"/>
        <w:spacing w:line="360" w:lineRule="auto"/>
        <w:ind w:left="0" w:right="0" w:firstLine="584" w:firstLineChars="200"/>
        <w:textAlignment w:val="auto"/>
        <w:rPr>
          <w:rFonts w:hint="default" w:ascii="Times New Roman" w:hAnsi="Times New Roman" w:eastAsia="国标宋体" w:cs="Times New Roman"/>
          <w:color w:val="auto"/>
          <w:spacing w:val="3"/>
          <w:sz w:val="28"/>
          <w:szCs w:val="28"/>
        </w:rPr>
      </w:pPr>
      <w:r>
        <w:rPr>
          <w:rFonts w:hint="eastAsia" w:eastAsia="国标宋体" w:cs="Times New Roman"/>
          <w:color w:val="auto"/>
          <w:spacing w:val="6"/>
          <w:sz w:val="28"/>
          <w:szCs w:val="28"/>
          <w:lang w:eastAsia="zh-CN"/>
        </w:rPr>
        <w:t>——</w:t>
      </w:r>
      <w:r>
        <w:rPr>
          <w:rFonts w:hint="default" w:ascii="Times New Roman" w:hAnsi="Times New Roman" w:eastAsia="国标宋体" w:cs="Times New Roman"/>
          <w:color w:val="auto"/>
          <w:spacing w:val="9"/>
          <w:sz w:val="28"/>
          <w:szCs w:val="28"/>
          <w:lang w:val="en-US" w:eastAsia="zh-CN"/>
        </w:rPr>
        <w:t>跟踪检验</w:t>
      </w:r>
      <w:r>
        <w:rPr>
          <w:rFonts w:hint="default" w:ascii="Times New Roman" w:hAnsi="Times New Roman" w:eastAsia="国标宋体" w:cs="Times New Roman"/>
          <w:color w:val="auto"/>
          <w:spacing w:val="3"/>
          <w:sz w:val="28"/>
          <w:szCs w:val="28"/>
        </w:rPr>
        <w:t>的</w:t>
      </w:r>
      <w:r>
        <w:rPr>
          <w:rFonts w:hint="default" w:ascii="Times New Roman" w:hAnsi="Times New Roman" w:eastAsia="国标宋体" w:cs="Times New Roman"/>
          <w:color w:val="auto"/>
          <w:spacing w:val="3"/>
          <w:sz w:val="28"/>
          <w:szCs w:val="28"/>
          <w:lang w:val="en-US" w:eastAsia="zh-CN"/>
        </w:rPr>
        <w:t>受检设备及地点</w:t>
      </w:r>
      <w:r>
        <w:rPr>
          <w:rFonts w:hint="default" w:ascii="Times New Roman" w:hAnsi="Times New Roman" w:eastAsia="国标宋体" w:cs="Times New Roman"/>
          <w:color w:val="auto"/>
          <w:spacing w:val="3"/>
          <w:sz w:val="28"/>
          <w:szCs w:val="28"/>
        </w:rPr>
        <w:t>。</w:t>
      </w:r>
    </w:p>
    <w:p w14:paraId="7D91B2DA">
      <w:pPr>
        <w:keepNext w:val="0"/>
        <w:keepLines w:val="0"/>
        <w:pageBreakBefore w:val="0"/>
        <w:widowControl w:val="0"/>
        <w:kinsoku/>
        <w:wordWrap/>
        <w:overflowPunct/>
        <w:topLinePunct w:val="0"/>
        <w:autoSpaceDE/>
        <w:autoSpaceDN/>
        <w:bidi w:val="0"/>
        <w:adjustRightInd w:val="0"/>
        <w:snapToGrid w:val="0"/>
        <w:spacing w:line="360" w:lineRule="auto"/>
        <w:ind w:left="0" w:right="0" w:firstLine="632" w:firstLineChars="200"/>
        <w:textAlignment w:val="auto"/>
        <w:rPr>
          <w:rFonts w:hint="default" w:ascii="Times New Roman" w:hAnsi="Times New Roman" w:eastAsia="国标宋体" w:cs="Times New Roman"/>
          <w:color w:val="auto"/>
          <w:spacing w:val="2"/>
          <w:sz w:val="28"/>
          <w:szCs w:val="28"/>
        </w:rPr>
      </w:pPr>
      <w:r>
        <w:rPr>
          <w:rFonts w:hint="eastAsia" w:eastAsia="国标宋体" w:cs="Times New Roman"/>
          <w:color w:val="auto"/>
          <w:spacing w:val="18"/>
          <w:sz w:val="28"/>
          <w:szCs w:val="28"/>
          <w:lang w:eastAsia="zh-CN"/>
        </w:rPr>
        <w:t>—</w:t>
      </w:r>
      <w:r>
        <w:rPr>
          <w:rFonts w:hint="eastAsia" w:eastAsia="国标宋体" w:cs="Times New Roman"/>
          <w:color w:val="auto"/>
          <w:spacing w:val="11"/>
          <w:sz w:val="28"/>
          <w:szCs w:val="28"/>
          <w:lang w:eastAsia="zh-CN"/>
        </w:rPr>
        <w:t>—</w:t>
      </w:r>
      <w:r>
        <w:rPr>
          <w:rFonts w:hint="default" w:ascii="Times New Roman" w:hAnsi="Times New Roman" w:eastAsia="国标宋体" w:cs="Times New Roman"/>
          <w:color w:val="auto"/>
          <w:spacing w:val="9"/>
          <w:sz w:val="28"/>
          <w:szCs w:val="28"/>
        </w:rPr>
        <w:t>确定检验项目参加检验能力</w:t>
      </w:r>
      <w:r>
        <w:rPr>
          <w:rFonts w:hint="default" w:ascii="Times New Roman" w:hAnsi="Times New Roman" w:eastAsia="国标宋体" w:cs="Times New Roman"/>
          <w:color w:val="auto"/>
          <w:spacing w:val="9"/>
          <w:sz w:val="28"/>
          <w:szCs w:val="28"/>
          <w:lang w:val="en-US" w:eastAsia="zh-CN"/>
        </w:rPr>
        <w:t>审查的</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每种</w:t>
      </w:r>
      <w:r>
        <w:rPr>
          <w:rFonts w:hint="default" w:ascii="Times New Roman" w:hAnsi="Times New Roman" w:eastAsia="国标宋体" w:cs="Times New Roman"/>
          <w:color w:val="auto"/>
          <w:spacing w:val="9"/>
          <w:sz w:val="28"/>
          <w:szCs w:val="28"/>
          <w:lang w:val="en-US" w:eastAsia="zh-CN"/>
        </w:rPr>
        <w:t>检验项目</w:t>
      </w:r>
      <w:r>
        <w:rPr>
          <w:rFonts w:hint="default" w:ascii="Times New Roman" w:hAnsi="Times New Roman" w:eastAsia="国标宋体" w:cs="Times New Roman"/>
          <w:color w:val="auto"/>
          <w:spacing w:val="9"/>
          <w:sz w:val="28"/>
          <w:szCs w:val="28"/>
        </w:rPr>
        <w:t>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9"/>
          <w:sz w:val="28"/>
          <w:szCs w:val="28"/>
        </w:rPr>
        <w:t>人员</w:t>
      </w:r>
      <w:r>
        <w:rPr>
          <w:rFonts w:hint="default" w:ascii="Times New Roman" w:hAnsi="Times New Roman" w:eastAsia="国标宋体" w:cs="Times New Roman"/>
          <w:color w:val="auto"/>
          <w:spacing w:val="4"/>
          <w:sz w:val="28"/>
          <w:szCs w:val="28"/>
          <w:lang w:val="en-US" w:eastAsia="zh-CN"/>
        </w:rPr>
        <w:t>一般由</w:t>
      </w:r>
      <w:r>
        <w:rPr>
          <w:rFonts w:hint="default" w:ascii="Times New Roman" w:hAnsi="Times New Roman" w:eastAsia="国标宋体" w:cs="Times New Roman"/>
          <w:color w:val="auto"/>
          <w:spacing w:val="9"/>
          <w:sz w:val="28"/>
          <w:szCs w:val="28"/>
          <w:lang w:val="en-US" w:eastAsia="zh-CN"/>
        </w:rPr>
        <w:t>省质量审评中心</w:t>
      </w:r>
      <w:r>
        <w:rPr>
          <w:rFonts w:hint="default" w:ascii="Times New Roman" w:hAnsi="Times New Roman" w:eastAsia="国标宋体" w:cs="Times New Roman"/>
          <w:color w:val="auto"/>
          <w:spacing w:val="2"/>
          <w:sz w:val="28"/>
          <w:szCs w:val="28"/>
        </w:rPr>
        <w:t>指定</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9"/>
          <w:sz w:val="28"/>
          <w:szCs w:val="28"/>
          <w:lang w:eastAsia="zh-CN"/>
        </w:rPr>
        <w:t>省质量审评中心</w:t>
      </w:r>
      <w:r>
        <w:rPr>
          <w:rFonts w:hint="default" w:ascii="Times New Roman" w:hAnsi="Times New Roman" w:eastAsia="国标宋体" w:cs="Times New Roman"/>
          <w:color w:val="auto"/>
          <w:spacing w:val="9"/>
          <w:sz w:val="28"/>
          <w:szCs w:val="28"/>
        </w:rPr>
        <w:t>和</w:t>
      </w:r>
      <w:r>
        <w:rPr>
          <w:rFonts w:hint="default" w:ascii="Times New Roman" w:hAnsi="Times New Roman" w:eastAsia="国标宋体" w:cs="Times New Roman"/>
          <w:color w:val="auto"/>
          <w:spacing w:val="9"/>
          <w:sz w:val="28"/>
          <w:szCs w:val="28"/>
          <w:lang w:eastAsia="zh-CN"/>
        </w:rPr>
        <w:t>申请单位</w:t>
      </w:r>
      <w:r>
        <w:rPr>
          <w:rFonts w:hint="default" w:ascii="Times New Roman" w:hAnsi="Times New Roman" w:eastAsia="国标宋体" w:cs="Times New Roman"/>
          <w:color w:val="auto"/>
          <w:spacing w:val="9"/>
          <w:sz w:val="28"/>
          <w:szCs w:val="28"/>
        </w:rPr>
        <w:t>确定的参加检验能力验证的人员不得更换</w:t>
      </w:r>
      <w:r>
        <w:rPr>
          <w:rFonts w:hint="default" w:ascii="Times New Roman" w:hAnsi="Times New Roman" w:eastAsia="国标宋体" w:cs="Times New Roman"/>
          <w:color w:val="auto"/>
          <w:spacing w:val="2"/>
          <w:sz w:val="28"/>
          <w:szCs w:val="28"/>
          <w:lang w:eastAsia="zh-CN"/>
        </w:rPr>
        <w:t>）</w:t>
      </w:r>
      <w:r>
        <w:rPr>
          <w:rFonts w:hint="default" w:ascii="Times New Roman" w:hAnsi="Times New Roman" w:eastAsia="国标宋体" w:cs="Times New Roman"/>
          <w:color w:val="auto"/>
          <w:spacing w:val="2"/>
          <w:sz w:val="28"/>
          <w:szCs w:val="28"/>
        </w:rPr>
        <w:t>。</w:t>
      </w:r>
    </w:p>
    <w:p w14:paraId="19F81C58">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备好检验检测用设备和材料</w:t>
      </w:r>
      <w:r>
        <w:rPr>
          <w:rFonts w:hint="default" w:ascii="Times New Roman" w:hAnsi="Times New Roman" w:eastAsia="国标宋体" w:cs="Times New Roman"/>
          <w:color w:val="auto"/>
          <w:spacing w:val="1"/>
          <w:sz w:val="28"/>
          <w:szCs w:val="28"/>
        </w:rPr>
        <w:t>。</w:t>
      </w:r>
    </w:p>
    <w:p w14:paraId="2CBDB036">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rPr>
        <w:t xml:space="preserve">C3.2.2 </w:t>
      </w:r>
      <w:r>
        <w:rPr>
          <w:rFonts w:hint="default" w:ascii="Times New Roman" w:hAnsi="Times New Roman" w:eastAsia="国标宋体" w:cs="Times New Roman"/>
          <w:color w:val="auto"/>
          <w:spacing w:val="6"/>
          <w:sz w:val="28"/>
          <w:szCs w:val="28"/>
        </w:rPr>
        <w:t>现场主要验证内容</w:t>
      </w:r>
    </w:p>
    <w:p w14:paraId="36903BCD">
      <w:pPr>
        <w:adjustRightInd w:val="0"/>
        <w:snapToGrid w:val="0"/>
        <w:spacing w:line="360" w:lineRule="auto"/>
        <w:ind w:firstLine="564" w:firstLineChars="200"/>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质量体系文件（质量手册、程序文件</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作业指导书</w:t>
      </w:r>
      <w:r>
        <w:rPr>
          <w:rFonts w:hint="default" w:ascii="Times New Roman" w:hAnsi="Times New Roman" w:eastAsia="国标宋体" w:cs="Times New Roman"/>
          <w:color w:val="auto"/>
          <w:spacing w:val="1"/>
          <w:sz w:val="28"/>
          <w:szCs w:val="28"/>
        </w:rPr>
        <w:t>、工艺规程和表格）是否符合要求。</w:t>
      </w:r>
    </w:p>
    <w:p w14:paraId="3B9F4C27">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单位责任人员任命情况，</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检测人员资格证书和注册情况。</w:t>
      </w:r>
    </w:p>
    <w:p w14:paraId="11511AEF">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w:t>
      </w:r>
      <w:r>
        <w:rPr>
          <w:rFonts w:hint="default" w:ascii="Times New Roman" w:hAnsi="Times New Roman" w:eastAsia="国标宋体" w:cs="Times New Roman"/>
          <w:color w:val="auto"/>
          <w:spacing w:val="1"/>
          <w:sz w:val="28"/>
          <w:szCs w:val="28"/>
        </w:rPr>
        <w:t>工作指令，编制</w:t>
      </w:r>
      <w:r>
        <w:rPr>
          <w:rFonts w:hint="default" w:ascii="Times New Roman" w:hAnsi="Times New Roman" w:eastAsia="国标宋体" w:cs="Times New Roman"/>
          <w:color w:val="auto"/>
          <w:spacing w:val="9"/>
          <w:sz w:val="28"/>
          <w:szCs w:val="28"/>
          <w:lang w:val="en-US" w:eastAsia="zh-CN"/>
        </w:rPr>
        <w:t>检验方案（</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9"/>
          <w:sz w:val="28"/>
          <w:szCs w:val="28"/>
          <w:lang w:val="en-US" w:eastAsia="zh-CN"/>
        </w:rPr>
        <w:t>）</w:t>
      </w:r>
      <w:r>
        <w:rPr>
          <w:rFonts w:hint="default" w:ascii="Times New Roman" w:hAnsi="Times New Roman" w:eastAsia="国标宋体" w:cs="Times New Roman"/>
          <w:color w:val="auto"/>
          <w:spacing w:val="1"/>
          <w:sz w:val="28"/>
          <w:szCs w:val="28"/>
        </w:rPr>
        <w:t>，并完成审批。</w:t>
      </w:r>
    </w:p>
    <w:p w14:paraId="7837F52F">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根据</w:t>
      </w:r>
      <w:r>
        <w:rPr>
          <w:rFonts w:hint="default" w:ascii="Times New Roman" w:hAnsi="Times New Roman" w:eastAsia="国标宋体" w:cs="Times New Roman"/>
          <w:color w:val="auto"/>
          <w:spacing w:val="1"/>
          <w:sz w:val="28"/>
          <w:szCs w:val="28"/>
          <w:lang w:val="en-US" w:eastAsia="zh-CN"/>
        </w:rPr>
        <w:t>检验方案或</w:t>
      </w:r>
      <w:r>
        <w:rPr>
          <w:rFonts w:hint="default" w:ascii="Times New Roman" w:hAnsi="Times New Roman" w:eastAsia="国标宋体" w:cs="Times New Roman"/>
          <w:color w:val="auto"/>
          <w:spacing w:val="1"/>
          <w:sz w:val="28"/>
          <w:szCs w:val="28"/>
        </w:rPr>
        <w:t>工艺卡</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作业指导书</w:t>
      </w:r>
      <w:r>
        <w:rPr>
          <w:rFonts w:hint="default" w:ascii="Times New Roman" w:hAnsi="Times New Roman"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完成指定的</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工作。</w:t>
      </w:r>
    </w:p>
    <w:p w14:paraId="797060FC">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形成</w:t>
      </w:r>
      <w:r>
        <w:rPr>
          <w:rFonts w:hint="default" w:ascii="Times New Roman" w:hAnsi="Times New Roman" w:eastAsia="国标宋体" w:cs="Times New Roman"/>
          <w:color w:val="auto"/>
          <w:spacing w:val="9"/>
          <w:sz w:val="28"/>
          <w:szCs w:val="28"/>
          <w:lang w:val="en-US" w:eastAsia="zh-CN"/>
        </w:rPr>
        <w:t>检验</w:t>
      </w:r>
      <w:r>
        <w:rPr>
          <w:rFonts w:hint="default" w:ascii="Times New Roman" w:hAnsi="Times New Roman" w:eastAsia="国标宋体" w:cs="Times New Roman"/>
          <w:color w:val="auto"/>
          <w:spacing w:val="1"/>
          <w:sz w:val="28"/>
          <w:szCs w:val="28"/>
        </w:rPr>
        <w:t>记录。</w:t>
      </w:r>
    </w:p>
    <w:p w14:paraId="1E55D6D5">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rPr>
        <w:t>现场技术、质量问题处理的情况等。</w:t>
      </w:r>
    </w:p>
    <w:p w14:paraId="4EDEC530">
      <w:pPr>
        <w:keepNext w:val="0"/>
        <w:keepLines w:val="0"/>
        <w:pageBreakBefore w:val="0"/>
        <w:widowControl w:val="0"/>
        <w:kinsoku/>
        <w:wordWrap/>
        <w:overflowPunct/>
        <w:topLinePunct w:val="0"/>
        <w:autoSpaceDE/>
        <w:autoSpaceDN/>
        <w:bidi w:val="0"/>
        <w:adjustRightInd w:val="0"/>
        <w:snapToGrid w:val="0"/>
        <w:spacing w:line="360" w:lineRule="auto"/>
        <w:ind w:left="0" w:right="0" w:firstLine="564" w:firstLineChars="200"/>
        <w:textAlignment w:val="auto"/>
        <w:rPr>
          <w:rFonts w:hint="default" w:ascii="Times New Roman" w:hAnsi="Times New Roman" w:eastAsia="国标宋体" w:cs="Times New Roman"/>
          <w:color w:val="auto"/>
          <w:spacing w:val="1"/>
          <w:sz w:val="28"/>
          <w:szCs w:val="28"/>
          <w:lang w:val="en-US" w:eastAsia="zh-CN"/>
        </w:rPr>
      </w:pPr>
      <w:r>
        <w:rPr>
          <w:rFonts w:hint="eastAsia" w:eastAsia="国标宋体" w:cs="Times New Roman"/>
          <w:color w:val="auto"/>
          <w:spacing w:val="1"/>
          <w:sz w:val="28"/>
          <w:szCs w:val="28"/>
          <w:lang w:eastAsia="zh-CN"/>
        </w:rPr>
        <w:t>——</w:t>
      </w:r>
      <w:r>
        <w:rPr>
          <w:rFonts w:hint="default" w:ascii="Times New Roman" w:hAnsi="Times New Roman" w:eastAsia="国标宋体" w:cs="Times New Roman"/>
          <w:color w:val="auto"/>
          <w:spacing w:val="1"/>
          <w:sz w:val="28"/>
          <w:szCs w:val="28"/>
          <w:lang w:val="en-US" w:eastAsia="zh-CN"/>
        </w:rPr>
        <w:t>出具检验报告（完成编、审、批并签字盖章）。</w:t>
      </w:r>
    </w:p>
    <w:p w14:paraId="50C2434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C3.3 采信能力</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结果</w:t>
      </w:r>
    </w:p>
    <w:p w14:paraId="07DDC99F">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rPr>
      </w:pPr>
      <w:r>
        <w:rPr>
          <w:rFonts w:hint="default" w:ascii="Times New Roman" w:hAnsi="Times New Roman" w:eastAsia="国标宋体" w:cs="Times New Roman"/>
          <w:color w:val="auto"/>
          <w:spacing w:val="9"/>
          <w:sz w:val="28"/>
          <w:szCs w:val="28"/>
        </w:rPr>
        <w:t>当申请核准项目采取采信能力验证结果的方式</w:t>
      </w:r>
      <w:r>
        <w:rPr>
          <w:rFonts w:hint="default" w:ascii="Times New Roman" w:hAnsi="Times New Roman" w:eastAsia="国标宋体" w:cs="Times New Roman"/>
          <w:color w:val="auto"/>
          <w:spacing w:val="9"/>
          <w:sz w:val="28"/>
          <w:szCs w:val="28"/>
          <w:lang w:eastAsia="zh-CN"/>
        </w:rPr>
        <w:t>审查</w:t>
      </w:r>
      <w:r>
        <w:rPr>
          <w:rFonts w:hint="default" w:ascii="Times New Roman" w:hAnsi="Times New Roman" w:eastAsia="国标宋体" w:cs="Times New Roman"/>
          <w:color w:val="auto"/>
          <w:spacing w:val="9"/>
          <w:sz w:val="28"/>
          <w:szCs w:val="28"/>
        </w:rPr>
        <w:t>检验能力</w:t>
      </w:r>
      <w:r>
        <w:rPr>
          <w:rFonts w:hint="default" w:ascii="Times New Roman" w:hAnsi="Times New Roman" w:eastAsia="国标宋体" w:cs="Times New Roman"/>
          <w:color w:val="auto"/>
          <w:spacing w:val="9"/>
          <w:sz w:val="28"/>
          <w:szCs w:val="28"/>
          <w:lang w:eastAsia="zh-CN"/>
        </w:rPr>
        <w:t>时，</w:t>
      </w:r>
      <w:r>
        <w:rPr>
          <w:rFonts w:hint="default" w:ascii="Times New Roman" w:hAnsi="Times New Roman" w:eastAsia="国标宋体" w:cs="Times New Roman"/>
          <w:color w:val="auto"/>
          <w:spacing w:val="9"/>
          <w:sz w:val="28"/>
          <w:szCs w:val="28"/>
        </w:rPr>
        <w:t>申请单位可在现场鉴定评审前完成申请项目的采信能力验证工作，由评审组现场核查采信能力验证结果。</w:t>
      </w:r>
    </w:p>
    <w:p w14:paraId="1CEA6E6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C3.4 检验能力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数量</w:t>
      </w:r>
    </w:p>
    <w:p w14:paraId="21112292">
      <w:pPr>
        <w:adjustRightInd w:val="0"/>
        <w:snapToGrid w:val="0"/>
        <w:spacing w:line="360" w:lineRule="auto"/>
        <w:ind w:firstLine="596" w:firstLineChars="200"/>
        <w:rPr>
          <w:rFonts w:hint="default" w:ascii="Times New Roman" w:hAnsi="Times New Roman" w:eastAsia="国标宋体" w:cs="Times New Roman"/>
          <w:color w:val="auto"/>
          <w:spacing w:val="9"/>
          <w:sz w:val="28"/>
          <w:szCs w:val="28"/>
          <w:lang w:eastAsia="zh-CN"/>
        </w:rPr>
      </w:pPr>
      <w:r>
        <w:rPr>
          <w:rFonts w:hint="default" w:ascii="Times New Roman" w:hAnsi="Times New Roman" w:eastAsia="国标宋体" w:cs="Times New Roman"/>
          <w:color w:val="auto"/>
          <w:spacing w:val="9"/>
          <w:sz w:val="28"/>
          <w:szCs w:val="28"/>
          <w:lang w:val="en-US" w:eastAsia="zh-CN"/>
        </w:rPr>
        <w:t>C3.4.1</w:t>
      </w:r>
      <w:r>
        <w:rPr>
          <w:rFonts w:hint="default" w:ascii="Times New Roman" w:hAnsi="Times New Roman" w:eastAsia="国标宋体" w:cs="Times New Roman"/>
          <w:color w:val="auto"/>
          <w:spacing w:val="9"/>
          <w:sz w:val="28"/>
          <w:szCs w:val="28"/>
        </w:rPr>
        <w:t xml:space="preserve"> 报告评价</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报告评价</w:t>
      </w:r>
      <w:r>
        <w:rPr>
          <w:rFonts w:hint="default" w:ascii="Times New Roman" w:hAnsi="Times New Roman" w:eastAsia="国标宋体" w:cs="Times New Roman"/>
          <w:color w:val="auto"/>
          <w:spacing w:val="9"/>
          <w:sz w:val="28"/>
          <w:szCs w:val="28"/>
          <w:lang w:val="en-US" w:eastAsia="zh-CN"/>
        </w:rPr>
        <w:t>方式进行能力审查的核准</w:t>
      </w:r>
      <w:r>
        <w:rPr>
          <w:rFonts w:hint="default" w:ascii="Times New Roman" w:hAnsi="Times New Roman" w:eastAsia="国标宋体" w:cs="Times New Roman"/>
          <w:color w:val="auto"/>
          <w:spacing w:val="9"/>
          <w:sz w:val="28"/>
          <w:szCs w:val="28"/>
        </w:rPr>
        <w:t xml:space="preserve">项目检验报告至少 </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 xml:space="preserve"> 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rPr>
        <w:t>申请核准项目有子项目时，每个子项目检验报告至少</w:t>
      </w:r>
      <w:r>
        <w:rPr>
          <w:rFonts w:hint="default" w:ascii="Times New Roman" w:hAnsi="Times New Roman" w:eastAsia="国标宋体" w:cs="Times New Roman"/>
          <w:color w:val="auto"/>
          <w:spacing w:val="9"/>
          <w:sz w:val="28"/>
          <w:szCs w:val="28"/>
          <w:lang w:val="en-US" w:eastAsia="zh-CN"/>
        </w:rPr>
        <w:t>4</w:t>
      </w:r>
      <w:r>
        <w:rPr>
          <w:rFonts w:hint="default" w:ascii="Times New Roman" w:hAnsi="Times New Roman" w:eastAsia="国标宋体" w:cs="Times New Roman"/>
          <w:color w:val="auto"/>
          <w:spacing w:val="9"/>
          <w:sz w:val="28"/>
          <w:szCs w:val="28"/>
        </w:rPr>
        <w:t>份</w:t>
      </w:r>
      <w:r>
        <w:rPr>
          <w:rFonts w:hint="default" w:ascii="Times New Roman" w:hAnsi="Times New Roman" w:eastAsia="国标宋体" w:cs="Times New Roman"/>
          <w:color w:val="auto"/>
          <w:spacing w:val="9"/>
          <w:sz w:val="28"/>
          <w:szCs w:val="28"/>
          <w:lang w:eastAsia="zh-CN"/>
        </w:rPr>
        <w:t>（持证周期内每年各</w:t>
      </w:r>
      <w:r>
        <w:rPr>
          <w:rFonts w:hint="default" w:ascii="Times New Roman" w:hAnsi="Times New Roman" w:eastAsia="国标宋体" w:cs="Times New Roman"/>
          <w:color w:val="auto"/>
          <w:spacing w:val="9"/>
          <w:sz w:val="28"/>
          <w:szCs w:val="28"/>
          <w:lang w:val="en-US" w:eastAsia="zh-CN"/>
        </w:rPr>
        <w:t>1份</w:t>
      </w:r>
      <w:r>
        <w:rPr>
          <w:rFonts w:hint="default" w:ascii="Times New Roman" w:hAnsi="Times New Roman" w:eastAsia="国标宋体" w:cs="Times New Roman"/>
          <w:color w:val="auto"/>
          <w:spacing w:val="9"/>
          <w:sz w:val="28"/>
          <w:szCs w:val="28"/>
          <w:lang w:eastAsia="zh-CN"/>
        </w:rPr>
        <w:t>）。</w:t>
      </w:r>
    </w:p>
    <w:p w14:paraId="3F93F28C">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 xml:space="preserve">C3.4.2 </w:t>
      </w:r>
      <w:r>
        <w:rPr>
          <w:rFonts w:hint="default" w:ascii="Times New Roman" w:hAnsi="Times New Roman" w:eastAsia="国标宋体" w:cs="Times New Roman"/>
          <w:color w:val="auto"/>
          <w:spacing w:val="9"/>
          <w:sz w:val="28"/>
          <w:szCs w:val="28"/>
        </w:rPr>
        <w:t>跟踪检验过程</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拟按跟踪检验过程方式进行能力审查的核准项目，每个项目跟踪检验现场1个</w:t>
      </w:r>
      <w:r>
        <w:rPr>
          <w:rFonts w:hint="default" w:ascii="Times New Roman" w:hAnsi="Times New Roman" w:eastAsia="国标宋体" w:cs="Times New Roman"/>
          <w:color w:val="auto"/>
          <w:spacing w:val="9"/>
          <w:sz w:val="28"/>
          <w:szCs w:val="28"/>
        </w:rPr>
        <w:t>。</w:t>
      </w:r>
    </w:p>
    <w:p w14:paraId="0509AF6A">
      <w:pPr>
        <w:adjustRightInd w:val="0"/>
        <w:snapToGrid w:val="0"/>
        <w:spacing w:line="360" w:lineRule="auto"/>
        <w:ind w:firstLine="596"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9"/>
          <w:sz w:val="28"/>
          <w:szCs w:val="28"/>
          <w:lang w:val="en-US" w:eastAsia="zh-CN"/>
        </w:rPr>
        <w:t>C3.4.3</w:t>
      </w:r>
      <w:r>
        <w:rPr>
          <w:rFonts w:hint="default" w:ascii="Times New Roman" w:hAnsi="Times New Roman" w:eastAsia="国标宋体" w:cs="Times New Roman"/>
          <w:color w:val="auto"/>
          <w:spacing w:val="9"/>
          <w:sz w:val="28"/>
          <w:szCs w:val="28"/>
        </w:rPr>
        <w:t xml:space="preserve"> 采信能力验证结果</w:t>
      </w:r>
      <w:r>
        <w:rPr>
          <w:rFonts w:hint="eastAsia" w:eastAsia="国标宋体" w:cs="Times New Roman"/>
          <w:color w:val="auto"/>
          <w:spacing w:val="9"/>
          <w:sz w:val="28"/>
          <w:szCs w:val="28"/>
          <w:lang w:eastAsia="zh-CN"/>
        </w:rPr>
        <w:t>——</w:t>
      </w:r>
      <w:r>
        <w:rPr>
          <w:rFonts w:hint="default" w:ascii="Times New Roman" w:hAnsi="Times New Roman" w:eastAsia="国标宋体" w:cs="Times New Roman"/>
          <w:color w:val="auto"/>
          <w:spacing w:val="9"/>
          <w:sz w:val="28"/>
          <w:szCs w:val="28"/>
          <w:lang w:val="en-US" w:eastAsia="zh-CN"/>
        </w:rPr>
        <w:t>审查</w:t>
      </w:r>
      <w:r>
        <w:rPr>
          <w:rFonts w:hint="default" w:ascii="Times New Roman" w:hAnsi="Times New Roman" w:eastAsia="国标宋体" w:cs="Times New Roman"/>
          <w:color w:val="auto"/>
          <w:spacing w:val="9"/>
          <w:sz w:val="28"/>
          <w:szCs w:val="28"/>
        </w:rPr>
        <w:t>每个</w:t>
      </w:r>
      <w:r>
        <w:rPr>
          <w:rFonts w:hint="default" w:ascii="Times New Roman" w:hAnsi="Times New Roman" w:eastAsia="国标宋体" w:cs="Times New Roman"/>
          <w:color w:val="auto"/>
          <w:spacing w:val="9"/>
          <w:sz w:val="28"/>
          <w:szCs w:val="28"/>
          <w:lang w:val="en-US" w:eastAsia="zh-CN"/>
        </w:rPr>
        <w:t>拟按</w:t>
      </w:r>
      <w:r>
        <w:rPr>
          <w:rFonts w:hint="default" w:ascii="Times New Roman" w:hAnsi="Times New Roman" w:eastAsia="国标宋体" w:cs="Times New Roman"/>
          <w:color w:val="auto"/>
          <w:spacing w:val="9"/>
          <w:sz w:val="28"/>
          <w:szCs w:val="28"/>
        </w:rPr>
        <w:t>采信能力验证结果</w:t>
      </w:r>
      <w:r>
        <w:rPr>
          <w:rFonts w:hint="default" w:ascii="Times New Roman" w:hAnsi="Times New Roman" w:eastAsia="国标宋体" w:cs="Times New Roman"/>
          <w:color w:val="auto"/>
          <w:spacing w:val="9"/>
          <w:sz w:val="28"/>
          <w:szCs w:val="28"/>
          <w:lang w:val="en-US" w:eastAsia="zh-CN"/>
        </w:rPr>
        <w:t>进行能力审查的核准</w:t>
      </w:r>
      <w:r>
        <w:rPr>
          <w:rFonts w:hint="default" w:ascii="Times New Roman" w:hAnsi="Times New Roman" w:eastAsia="国标宋体" w:cs="Times New Roman"/>
          <w:color w:val="auto"/>
          <w:spacing w:val="9"/>
          <w:sz w:val="28"/>
          <w:szCs w:val="28"/>
        </w:rPr>
        <w:t>项目至少 1 份行业内具有公信力的检验机构所出具的能力验证报告，且结果为</w:t>
      </w:r>
      <w:r>
        <w:rPr>
          <w:rFonts w:hint="default" w:ascii="Times New Roman" w:hAnsi="Times New Roman" w:eastAsia="国标宋体" w:cs="Times New Roman"/>
          <w:color w:val="auto"/>
          <w:spacing w:val="9"/>
          <w:sz w:val="28"/>
          <w:szCs w:val="28"/>
          <w:lang w:val="en-US" w:eastAsia="zh-CN"/>
        </w:rPr>
        <w:t>合格及以上</w:t>
      </w:r>
      <w:r>
        <w:rPr>
          <w:rFonts w:hint="default" w:ascii="Times New Roman" w:hAnsi="Times New Roman" w:eastAsia="国标宋体" w:cs="Times New Roman"/>
          <w:color w:val="auto"/>
          <w:spacing w:val="9"/>
          <w:sz w:val="28"/>
          <w:szCs w:val="28"/>
        </w:rPr>
        <w:t>。</w:t>
      </w:r>
    </w:p>
    <w:p w14:paraId="2BF9169D">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4</w:t>
      </w:r>
      <w:r>
        <w:rPr>
          <w:rFonts w:hint="default" w:ascii="Times New Roman" w:hAnsi="Times New Roman" w:eastAsia="国标宋体" w:cs="Times New Roman"/>
          <w:color w:val="auto"/>
          <w:sz w:val="28"/>
          <w:szCs w:val="28"/>
        </w:rPr>
        <w:t xml:space="preserve"> 不符合项整改</w:t>
      </w:r>
    </w:p>
    <w:p w14:paraId="52FCCF3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评审组要求</w:t>
      </w:r>
      <w:r>
        <w:rPr>
          <w:rFonts w:hint="default" w:ascii="Times New Roman" w:hAnsi="Times New Roman" w:eastAsia="国标宋体" w:cs="Times New Roman"/>
          <w:color w:val="auto"/>
          <w:sz w:val="28"/>
          <w:szCs w:val="28"/>
          <w:lang w:eastAsia="zh-CN"/>
        </w:rPr>
        <w:t>申请单位</w:t>
      </w:r>
      <w:r>
        <w:rPr>
          <w:rFonts w:hint="default" w:ascii="Times New Roman" w:hAnsi="Times New Roman" w:eastAsia="国标宋体" w:cs="Times New Roman"/>
          <w:color w:val="auto"/>
          <w:sz w:val="28"/>
          <w:szCs w:val="28"/>
        </w:rPr>
        <w:t>对</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rPr>
        <w:t>中发现的不符合项进行整改，其整改</w:t>
      </w:r>
      <w:r>
        <w:rPr>
          <w:rFonts w:hint="default" w:ascii="Times New Roman" w:hAnsi="Times New Roman" w:eastAsia="国标宋体" w:cs="Times New Roman"/>
          <w:color w:val="auto"/>
          <w:sz w:val="28"/>
          <w:szCs w:val="28"/>
          <w:lang w:eastAsia="zh-CN"/>
        </w:rPr>
        <w:t>情况</w:t>
      </w:r>
      <w:r>
        <w:rPr>
          <w:rFonts w:hint="default" w:ascii="Times New Roman" w:hAnsi="Times New Roman" w:eastAsia="国标宋体" w:cs="Times New Roman"/>
          <w:color w:val="auto"/>
          <w:sz w:val="28"/>
          <w:szCs w:val="28"/>
        </w:rPr>
        <w:t>一并写入整改</w:t>
      </w:r>
      <w:r>
        <w:rPr>
          <w:rFonts w:hint="default" w:ascii="Times New Roman" w:hAnsi="Times New Roman" w:eastAsia="国标宋体" w:cs="Times New Roman"/>
          <w:color w:val="auto"/>
          <w:sz w:val="28"/>
          <w:szCs w:val="28"/>
          <w:lang w:eastAsia="zh-CN"/>
        </w:rPr>
        <w:t>报告</w:t>
      </w:r>
      <w:r>
        <w:rPr>
          <w:rFonts w:hint="default" w:ascii="Times New Roman" w:hAnsi="Times New Roman" w:eastAsia="国标宋体" w:cs="Times New Roman"/>
          <w:color w:val="auto"/>
          <w:sz w:val="28"/>
          <w:szCs w:val="28"/>
        </w:rPr>
        <w:t>。</w:t>
      </w:r>
    </w:p>
    <w:p w14:paraId="541976F8">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C</w:t>
      </w:r>
      <w:r>
        <w:rPr>
          <w:rFonts w:hint="eastAsia" w:eastAsia="国标宋体" w:cs="Times New Roman"/>
          <w:color w:val="auto"/>
          <w:sz w:val="28"/>
          <w:szCs w:val="28"/>
          <w:lang w:val="en-US" w:eastAsia="zh-CN"/>
        </w:rPr>
        <w:t>5</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eastAsia="zh-CN"/>
        </w:rPr>
        <w:t>审查</w:t>
      </w:r>
      <w:r>
        <w:rPr>
          <w:rFonts w:hint="default" w:ascii="Times New Roman" w:hAnsi="Times New Roman" w:eastAsia="国标宋体" w:cs="Times New Roman"/>
          <w:color w:val="auto"/>
          <w:sz w:val="28"/>
          <w:szCs w:val="28"/>
          <w:lang w:val="en-US" w:eastAsia="zh-CN"/>
        </w:rPr>
        <w:t>不符合条件的情况</w:t>
      </w:r>
    </w:p>
    <w:p w14:paraId="240002EF">
      <w:pPr>
        <w:adjustRightInd w:val="0"/>
        <w:snapToGrid w:val="0"/>
        <w:spacing w:line="360" w:lineRule="auto"/>
        <w:ind w:firstLine="560" w:firstLineChars="200"/>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当发生以下情况之一时，相应检验项目的</w:t>
      </w:r>
      <w:r>
        <w:rPr>
          <w:rFonts w:hint="default" w:ascii="Times New Roman" w:hAnsi="Times New Roman" w:eastAsia="国标宋体" w:cs="Times New Roman"/>
          <w:color w:val="auto"/>
          <w:sz w:val="28"/>
          <w:szCs w:val="28"/>
          <w:lang w:val="en-US" w:eastAsia="zh-CN"/>
        </w:rPr>
        <w:t>检验能力审查</w:t>
      </w:r>
      <w:r>
        <w:rPr>
          <w:rFonts w:hint="default" w:ascii="Times New Roman" w:hAnsi="Times New Roman" w:eastAsia="国标宋体" w:cs="Times New Roman"/>
          <w:color w:val="auto"/>
          <w:sz w:val="28"/>
          <w:szCs w:val="28"/>
        </w:rPr>
        <w:t>结论为</w:t>
      </w:r>
      <w:r>
        <w:rPr>
          <w:rFonts w:hint="default" w:ascii="Times New Roman" w:hAnsi="Times New Roman" w:eastAsia="国标宋体" w:cs="Times New Roman"/>
          <w:color w:val="auto"/>
          <w:sz w:val="28"/>
          <w:szCs w:val="28"/>
          <w:lang w:val="en-US" w:eastAsia="zh-CN"/>
        </w:rPr>
        <w:t>不符合条件</w:t>
      </w:r>
      <w:r>
        <w:rPr>
          <w:rFonts w:hint="default" w:ascii="Times New Roman" w:hAnsi="Times New Roman" w:eastAsia="国标宋体" w:cs="Times New Roman"/>
          <w:color w:val="auto"/>
          <w:sz w:val="28"/>
          <w:szCs w:val="28"/>
        </w:rPr>
        <w:t>。</w:t>
      </w:r>
    </w:p>
    <w:p w14:paraId="390F78F5">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无法满足核准规则所规定的检验检测设备</w:t>
      </w:r>
      <w:r>
        <w:rPr>
          <w:rFonts w:hint="default" w:ascii="Times New Roman" w:hAnsi="Times New Roman" w:eastAsia="国标宋体" w:cs="Times New Roman"/>
          <w:color w:val="auto"/>
          <w:spacing w:val="0"/>
          <w:sz w:val="28"/>
          <w:szCs w:val="28"/>
          <w:lang w:eastAsia="zh-CN"/>
        </w:rPr>
        <w:t>要求，</w:t>
      </w:r>
      <w:r>
        <w:rPr>
          <w:rFonts w:hint="default" w:ascii="Times New Roman" w:hAnsi="Times New Roman" w:eastAsia="国标宋体" w:cs="Times New Roman"/>
          <w:color w:val="auto"/>
          <w:spacing w:val="0"/>
          <w:sz w:val="28"/>
          <w:szCs w:val="28"/>
          <w:lang w:val="en-US" w:eastAsia="zh-CN"/>
        </w:rPr>
        <w:t>或设备无法开展检验工作</w:t>
      </w:r>
      <w:r>
        <w:rPr>
          <w:rFonts w:hint="default" w:ascii="Times New Roman" w:hAnsi="Times New Roman" w:eastAsia="国标宋体" w:cs="Times New Roman"/>
          <w:color w:val="auto"/>
          <w:spacing w:val="0"/>
          <w:sz w:val="28"/>
          <w:szCs w:val="28"/>
        </w:rPr>
        <w:t>。</w:t>
      </w:r>
    </w:p>
    <w:p w14:paraId="00E8273C">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lang w:val="en-US" w:eastAsia="zh-CN"/>
        </w:rPr>
        <w:t>参与</w:t>
      </w:r>
      <w:r>
        <w:rPr>
          <w:rFonts w:hint="default" w:ascii="Times New Roman" w:hAnsi="Times New Roman" w:eastAsia="国标宋体" w:cs="Times New Roman"/>
          <w:color w:val="auto"/>
          <w:spacing w:val="0"/>
          <w:sz w:val="28"/>
          <w:szCs w:val="28"/>
        </w:rPr>
        <w:t>检验</w:t>
      </w:r>
      <w:r>
        <w:rPr>
          <w:rFonts w:hint="default" w:ascii="Times New Roman" w:hAnsi="Times New Roman" w:eastAsia="国标宋体" w:cs="Times New Roman"/>
          <w:color w:val="auto"/>
          <w:sz w:val="28"/>
          <w:szCs w:val="28"/>
        </w:rPr>
        <w:t>能力</w:t>
      </w:r>
      <w:r>
        <w:rPr>
          <w:rFonts w:hint="default" w:ascii="Times New Roman" w:hAnsi="Times New Roman" w:eastAsia="国标宋体" w:cs="Times New Roman"/>
          <w:color w:val="auto"/>
          <w:sz w:val="28"/>
          <w:szCs w:val="28"/>
          <w:lang w:val="en-US" w:eastAsia="zh-CN"/>
        </w:rPr>
        <w:t>审查的</w:t>
      </w:r>
      <w:r>
        <w:rPr>
          <w:rFonts w:hint="default" w:ascii="Times New Roman" w:hAnsi="Times New Roman" w:eastAsia="国标宋体" w:cs="Times New Roman"/>
          <w:color w:val="auto"/>
          <w:spacing w:val="0"/>
          <w:sz w:val="28"/>
          <w:szCs w:val="28"/>
          <w:lang w:val="en-US" w:eastAsia="zh-CN"/>
        </w:rPr>
        <w:t>检验人员</w:t>
      </w:r>
      <w:r>
        <w:rPr>
          <w:rFonts w:hint="default" w:ascii="Times New Roman" w:hAnsi="Times New Roman" w:eastAsia="国标宋体" w:cs="Times New Roman"/>
          <w:color w:val="auto"/>
          <w:spacing w:val="0"/>
          <w:sz w:val="28"/>
          <w:szCs w:val="28"/>
        </w:rPr>
        <w:t>与</w:t>
      </w:r>
      <w:r>
        <w:rPr>
          <w:rFonts w:hint="default" w:ascii="Times New Roman" w:hAnsi="Times New Roman" w:eastAsia="国标宋体" w:cs="Times New Roman"/>
          <w:color w:val="auto"/>
          <w:spacing w:val="0"/>
          <w:sz w:val="28"/>
          <w:szCs w:val="28"/>
          <w:lang w:eastAsia="zh-CN"/>
        </w:rPr>
        <w:t>省质量审评中心</w:t>
      </w:r>
      <w:r>
        <w:rPr>
          <w:rFonts w:hint="default" w:ascii="Times New Roman" w:hAnsi="Times New Roman" w:eastAsia="国标宋体" w:cs="Times New Roman"/>
          <w:color w:val="auto"/>
          <w:spacing w:val="0"/>
          <w:sz w:val="28"/>
          <w:szCs w:val="28"/>
        </w:rPr>
        <w:t>和</w:t>
      </w:r>
      <w:r>
        <w:rPr>
          <w:rFonts w:hint="default" w:ascii="Times New Roman" w:hAnsi="Times New Roman" w:eastAsia="国标宋体" w:cs="Times New Roman"/>
          <w:color w:val="auto"/>
          <w:spacing w:val="0"/>
          <w:sz w:val="28"/>
          <w:szCs w:val="28"/>
          <w:lang w:eastAsia="zh-CN"/>
        </w:rPr>
        <w:t>申请单位</w:t>
      </w:r>
      <w:r>
        <w:rPr>
          <w:rFonts w:hint="default" w:ascii="Times New Roman" w:hAnsi="Times New Roman" w:eastAsia="国标宋体" w:cs="Times New Roman"/>
          <w:color w:val="auto"/>
          <w:spacing w:val="0"/>
          <w:sz w:val="28"/>
          <w:szCs w:val="28"/>
        </w:rPr>
        <w:t>确定的参加检验能力验证的人员不一致。</w:t>
      </w:r>
    </w:p>
    <w:p w14:paraId="2721A2B3">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kern w:val="0"/>
          <w:sz w:val="28"/>
          <w:szCs w:val="28"/>
          <w:lang w:val="en-US" w:eastAsia="zh-CN" w:bidi="ar"/>
        </w:rPr>
        <w:t>参与采信能力验证的检验机构的核准项目超过有效期或不能够覆盖申请单位申请核准项目的。</w:t>
      </w:r>
    </w:p>
    <w:p w14:paraId="1D5649FD">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rPr>
      </w:pPr>
      <w:r>
        <w:rPr>
          <w:rFonts w:hint="eastAsia" w:eastAsia="国标宋体" w:cs="Times New Roman"/>
          <w:color w:val="auto"/>
          <w:spacing w:val="0"/>
          <w:sz w:val="28"/>
          <w:szCs w:val="28"/>
          <w:lang w:eastAsia="zh-CN"/>
        </w:rPr>
        <w:t>——</w:t>
      </w:r>
      <w:r>
        <w:rPr>
          <w:rFonts w:hint="default" w:ascii="Times New Roman" w:hAnsi="Times New Roman" w:eastAsia="国标宋体" w:cs="Times New Roman"/>
          <w:color w:val="auto"/>
          <w:spacing w:val="0"/>
          <w:sz w:val="28"/>
          <w:szCs w:val="28"/>
        </w:rPr>
        <w:t>发现虚假检验行为。</w:t>
      </w:r>
    </w:p>
    <w:p w14:paraId="4F25BF68">
      <w:pPr>
        <w:adjustRightInd w:val="0"/>
        <w:snapToGrid w:val="0"/>
        <w:spacing w:line="360" w:lineRule="auto"/>
        <w:ind w:firstLine="560" w:firstLineChars="200"/>
        <w:rPr>
          <w:rFonts w:hint="default" w:ascii="Times New Roman" w:hAnsi="Times New Roman" w:eastAsia="国标宋体" w:cs="Times New Roman"/>
          <w:color w:val="auto"/>
          <w:spacing w:val="0"/>
          <w:sz w:val="28"/>
          <w:szCs w:val="28"/>
          <w:highlight w:val="none"/>
          <w:lang w:val="en-US"/>
        </w:rPr>
      </w:pPr>
      <w:r>
        <w:rPr>
          <w:rFonts w:hint="eastAsia" w:eastAsia="国标宋体" w:cs="Times New Roman"/>
          <w:color w:val="auto"/>
          <w:spacing w:val="0"/>
          <w:sz w:val="28"/>
          <w:szCs w:val="28"/>
          <w:highlight w:val="none"/>
          <w:lang w:eastAsia="zh-CN"/>
        </w:rPr>
        <w:t>——</w:t>
      </w:r>
      <w:r>
        <w:rPr>
          <w:rFonts w:hint="default" w:ascii="Times New Roman" w:hAnsi="Times New Roman" w:eastAsia="国标宋体" w:cs="Times New Roman"/>
          <w:color w:val="auto"/>
          <w:spacing w:val="0"/>
          <w:sz w:val="28"/>
          <w:szCs w:val="28"/>
          <w:highlight w:val="none"/>
          <w:lang w:eastAsia="zh-CN"/>
        </w:rPr>
        <w:t>申请单位</w:t>
      </w:r>
      <w:r>
        <w:rPr>
          <w:rFonts w:hint="default" w:ascii="Times New Roman" w:hAnsi="Times New Roman" w:eastAsia="国标宋体" w:cs="Times New Roman"/>
          <w:color w:val="auto"/>
          <w:spacing w:val="0"/>
          <w:sz w:val="28"/>
          <w:szCs w:val="28"/>
          <w:highlight w:val="none"/>
          <w:lang w:val="en-US" w:eastAsia="zh-CN"/>
        </w:rPr>
        <w:t>及其参与</w:t>
      </w:r>
      <w:r>
        <w:rPr>
          <w:rFonts w:hint="default" w:ascii="Times New Roman" w:hAnsi="Times New Roman" w:eastAsia="国标宋体" w:cs="Times New Roman"/>
          <w:color w:val="auto"/>
          <w:spacing w:val="0"/>
          <w:sz w:val="28"/>
          <w:szCs w:val="28"/>
          <w:highlight w:val="none"/>
        </w:rPr>
        <w:t>检验</w:t>
      </w:r>
      <w:r>
        <w:rPr>
          <w:rFonts w:hint="default" w:ascii="Times New Roman" w:hAnsi="Times New Roman" w:eastAsia="国标宋体" w:cs="Times New Roman"/>
          <w:color w:val="auto"/>
          <w:sz w:val="28"/>
          <w:szCs w:val="28"/>
          <w:highlight w:val="none"/>
        </w:rPr>
        <w:t>能力</w:t>
      </w:r>
      <w:r>
        <w:rPr>
          <w:rFonts w:hint="default" w:ascii="Times New Roman" w:hAnsi="Times New Roman" w:eastAsia="国标宋体" w:cs="Times New Roman"/>
          <w:color w:val="auto"/>
          <w:sz w:val="28"/>
          <w:szCs w:val="28"/>
          <w:highlight w:val="none"/>
          <w:lang w:val="en-US" w:eastAsia="zh-CN"/>
        </w:rPr>
        <w:t>审查的</w:t>
      </w:r>
      <w:r>
        <w:rPr>
          <w:rFonts w:hint="default" w:ascii="Times New Roman" w:hAnsi="Times New Roman" w:eastAsia="国标宋体" w:cs="Times New Roman"/>
          <w:color w:val="auto"/>
          <w:spacing w:val="0"/>
          <w:sz w:val="28"/>
          <w:szCs w:val="28"/>
          <w:highlight w:val="none"/>
          <w:lang w:val="en-US" w:eastAsia="zh-CN"/>
        </w:rPr>
        <w:t>检验人员在鉴定评审规定时间内不能完成检验现场跟踪。</w:t>
      </w:r>
    </w:p>
    <w:p w14:paraId="159EBEAC">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存在明显</w:t>
      </w:r>
      <w:r>
        <w:rPr>
          <w:rFonts w:hint="default" w:ascii="Times New Roman" w:hAnsi="Times New Roman" w:eastAsia="国标宋体" w:cs="Times New Roman"/>
          <w:color w:val="auto"/>
          <w:sz w:val="28"/>
          <w:szCs w:val="28"/>
        </w:rPr>
        <w:t>缺陷</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rPr>
        <w:t>错检、漏检，且影响</w:t>
      </w:r>
      <w:r>
        <w:rPr>
          <w:rFonts w:hint="default" w:ascii="Times New Roman" w:hAnsi="Times New Roman" w:eastAsia="国标宋体" w:cs="Times New Roman"/>
          <w:color w:val="auto"/>
          <w:sz w:val="28"/>
          <w:szCs w:val="28"/>
          <w:lang w:eastAsia="zh-CN"/>
        </w:rPr>
        <w:t>报告结论的</w:t>
      </w:r>
      <w:r>
        <w:rPr>
          <w:rFonts w:hint="default" w:ascii="Times New Roman" w:hAnsi="Times New Roman" w:eastAsia="国标宋体" w:cs="Times New Roman"/>
          <w:color w:val="auto"/>
          <w:sz w:val="28"/>
          <w:szCs w:val="28"/>
        </w:rPr>
        <w:t>。</w:t>
      </w:r>
    </w:p>
    <w:p w14:paraId="0FFE2FDA">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申请单位无足够检验业绩，</w:t>
      </w:r>
      <w:r>
        <w:rPr>
          <w:rFonts w:hint="default" w:ascii="Times New Roman" w:hAnsi="Times New Roman" w:eastAsia="国标宋体" w:cs="Times New Roman"/>
          <w:color w:val="auto"/>
          <w:sz w:val="28"/>
          <w:szCs w:val="28"/>
          <w:lang w:eastAsia="zh-CN"/>
        </w:rPr>
        <w:t>且无法按照</w:t>
      </w:r>
      <w:r>
        <w:rPr>
          <w:rFonts w:hint="default" w:ascii="Times New Roman" w:hAnsi="Times New Roman" w:eastAsia="国标宋体" w:cs="Times New Roman"/>
          <w:color w:val="auto"/>
          <w:sz w:val="28"/>
          <w:szCs w:val="28"/>
        </w:rPr>
        <w:t>评审组要求对此项目进行跟踪</w:t>
      </w:r>
      <w:r>
        <w:rPr>
          <w:rFonts w:hint="eastAsia" w:eastAsia="国标宋体" w:cs="Times New Roman"/>
          <w:color w:val="auto"/>
          <w:sz w:val="28"/>
          <w:szCs w:val="28"/>
          <w:lang w:eastAsia="zh-CN"/>
        </w:rPr>
        <w:t>检验</w:t>
      </w:r>
      <w:r>
        <w:rPr>
          <w:rFonts w:hint="default" w:ascii="Times New Roman" w:hAnsi="Times New Roman" w:eastAsia="国标宋体" w:cs="Times New Roman"/>
          <w:color w:val="auto"/>
          <w:sz w:val="28"/>
          <w:szCs w:val="28"/>
        </w:rPr>
        <w:t>。</w:t>
      </w:r>
    </w:p>
    <w:p w14:paraId="39EFB946">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申请单位完全无</w:t>
      </w:r>
      <w:r>
        <w:rPr>
          <w:rFonts w:hint="default" w:ascii="Times New Roman" w:hAnsi="Times New Roman" w:eastAsia="国标宋体" w:cs="Times New Roman"/>
          <w:color w:val="auto"/>
          <w:sz w:val="28"/>
          <w:szCs w:val="28"/>
          <w:lang w:eastAsia="zh-CN"/>
        </w:rPr>
        <w:t>申请项目的</w:t>
      </w:r>
      <w:r>
        <w:rPr>
          <w:rFonts w:hint="default" w:ascii="Times New Roman" w:hAnsi="Times New Roman" w:eastAsia="国标宋体" w:cs="Times New Roman"/>
          <w:color w:val="auto"/>
          <w:sz w:val="28"/>
          <w:szCs w:val="28"/>
        </w:rPr>
        <w:t>检验业绩</w:t>
      </w:r>
    </w:p>
    <w:p w14:paraId="48475299">
      <w:pPr>
        <w:widowControl w:val="0"/>
        <w:kinsoku/>
        <w:autoSpaceDE/>
        <w:autoSpaceDN/>
        <w:spacing w:line="360" w:lineRule="auto"/>
        <w:ind w:firstLine="560" w:firstLineChars="200"/>
        <w:textAlignment w:val="auto"/>
        <w:rPr>
          <w:rFonts w:hint="default" w:ascii="Times New Roman" w:hAnsi="Times New Roman" w:eastAsia="国标宋体" w:cs="Times New Roman"/>
          <w:color w:val="auto"/>
          <w:sz w:val="28"/>
          <w:szCs w:val="28"/>
        </w:rPr>
      </w:pPr>
      <w:r>
        <w:rPr>
          <w:rFonts w:hint="eastAsia" w:eastAsia="国标宋体" w:cs="Times New Roman"/>
          <w:color w:val="auto"/>
          <w:sz w:val="28"/>
          <w:szCs w:val="28"/>
          <w:lang w:eastAsia="zh-CN"/>
        </w:rPr>
        <w:t>——</w:t>
      </w:r>
      <w:r>
        <w:rPr>
          <w:rFonts w:hint="default" w:ascii="Times New Roman" w:hAnsi="Times New Roman" w:eastAsia="国标宋体" w:cs="Times New Roman"/>
          <w:color w:val="auto"/>
          <w:sz w:val="28"/>
          <w:szCs w:val="28"/>
        </w:rPr>
        <w:t>其他需要请示的事项。</w:t>
      </w:r>
    </w:p>
    <w:p w14:paraId="23414662">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bookmarkEnd w:id="103"/>
    <w:bookmarkEnd w:id="104"/>
    <w:bookmarkEnd w:id="105"/>
    <w:bookmarkEnd w:id="106"/>
    <w:bookmarkEnd w:id="107"/>
    <w:p w14:paraId="3349F571">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BDF66C5">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739B98B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8C97B27">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51963710">
      <w:pPr>
        <w:adjustRightInd w:val="0"/>
        <w:snapToGrid w:val="0"/>
        <w:spacing w:line="360" w:lineRule="auto"/>
        <w:ind w:firstLine="420" w:firstLineChars="200"/>
        <w:rPr>
          <w:rFonts w:hint="default" w:ascii="Times New Roman" w:hAnsi="Times New Roman" w:eastAsia="国标宋体" w:cs="Times New Roman"/>
          <w:color w:val="auto"/>
          <w:sz w:val="21"/>
          <w:szCs w:val="21"/>
        </w:rPr>
      </w:pPr>
    </w:p>
    <w:p w14:paraId="6237943D">
      <w:pPr>
        <w:spacing w:before="66" w:line="232" w:lineRule="auto"/>
        <w:ind w:left="510"/>
        <w:rPr>
          <w:rFonts w:hint="default" w:ascii="Times New Roman" w:hAnsi="Times New Roman" w:eastAsia="国标宋体" w:cs="Times New Roman"/>
          <w:color w:val="auto"/>
          <w:sz w:val="21"/>
          <w:szCs w:val="21"/>
        </w:rPr>
      </w:pPr>
    </w:p>
    <w:p w14:paraId="7C906738">
      <w:pPr>
        <w:spacing w:before="1" w:line="227" w:lineRule="auto"/>
        <w:ind w:left="513"/>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0C758A4">
      <w:pPr>
        <w:pStyle w:val="2"/>
        <w:spacing w:before="308" w:line="228" w:lineRule="auto"/>
        <w:jc w:val="left"/>
        <w:rPr>
          <w:rFonts w:hint="default" w:ascii="Times New Roman" w:hAnsi="Times New Roman" w:eastAsia="国标宋体" w:cs="Times New Roman"/>
          <w:b w:val="0"/>
          <w:bCs/>
          <w:color w:val="auto"/>
          <w:sz w:val="32"/>
          <w:szCs w:val="32"/>
        </w:rPr>
      </w:pPr>
      <w:bookmarkStart w:id="108" w:name="_Toc12261"/>
      <w:bookmarkStart w:id="109" w:name="_Toc34265960"/>
      <w:bookmarkStart w:id="110" w:name="_Toc854894351"/>
      <w:bookmarkStart w:id="111" w:name="_Toc29075"/>
      <w:bookmarkStart w:id="112" w:name="_Toc13481"/>
      <w:bookmarkStart w:id="113" w:name="_Toc7980"/>
      <w:bookmarkStart w:id="114" w:name="_Toc796227556"/>
      <w:bookmarkStart w:id="115" w:name="_Toc1321397151"/>
      <w:bookmarkStart w:id="116" w:name="_Toc9658"/>
      <w:r>
        <w:rPr>
          <w:rFonts w:hint="default" w:ascii="Times New Roman" w:hAnsi="Times New Roman" w:eastAsia="国标宋体" w:cs="Times New Roman"/>
          <w:b w:val="0"/>
          <w:bCs/>
          <w:color w:val="auto"/>
          <w:sz w:val="32"/>
          <w:szCs w:val="32"/>
        </w:rPr>
        <w:t>附录D  整改报告格式</w:t>
      </w:r>
      <w:bookmarkEnd w:id="108"/>
      <w:bookmarkEnd w:id="109"/>
      <w:bookmarkEnd w:id="110"/>
      <w:bookmarkEnd w:id="111"/>
      <w:bookmarkEnd w:id="112"/>
      <w:bookmarkEnd w:id="113"/>
      <w:bookmarkEnd w:id="114"/>
      <w:bookmarkEnd w:id="115"/>
      <w:bookmarkEnd w:id="116"/>
    </w:p>
    <w:p w14:paraId="4DBF8AF0">
      <w:pPr>
        <w:spacing w:line="252" w:lineRule="auto"/>
        <w:jc w:val="left"/>
        <w:rPr>
          <w:rFonts w:hint="default" w:ascii="Times New Roman" w:hAnsi="Times New Roman" w:eastAsia="国标宋体" w:cs="Times New Roman"/>
          <w:color w:val="auto"/>
          <w:sz w:val="28"/>
          <w:szCs w:val="21"/>
        </w:rPr>
      </w:pPr>
    </w:p>
    <w:p w14:paraId="2A0315ED">
      <w:pPr>
        <w:spacing w:line="253" w:lineRule="auto"/>
        <w:rPr>
          <w:rFonts w:hint="default" w:ascii="Times New Roman" w:hAnsi="Times New Roman" w:eastAsia="国标宋体" w:cs="Times New Roman"/>
          <w:color w:val="auto"/>
          <w:sz w:val="28"/>
          <w:szCs w:val="21"/>
        </w:rPr>
      </w:pPr>
    </w:p>
    <w:p w14:paraId="1442039A">
      <w:pPr>
        <w:spacing w:line="253" w:lineRule="auto"/>
        <w:rPr>
          <w:rFonts w:hint="default" w:ascii="Times New Roman" w:hAnsi="Times New Roman" w:eastAsia="国标宋体" w:cs="Times New Roman"/>
          <w:color w:val="auto"/>
          <w:sz w:val="28"/>
          <w:szCs w:val="21"/>
        </w:rPr>
      </w:pPr>
    </w:p>
    <w:p w14:paraId="31C65AC0">
      <w:pPr>
        <w:spacing w:line="253" w:lineRule="auto"/>
        <w:rPr>
          <w:rFonts w:hint="default" w:ascii="Times New Roman" w:hAnsi="Times New Roman" w:eastAsia="国标宋体" w:cs="Times New Roman"/>
          <w:color w:val="auto"/>
          <w:sz w:val="28"/>
          <w:szCs w:val="21"/>
        </w:rPr>
      </w:pPr>
    </w:p>
    <w:p w14:paraId="0D3A4065">
      <w:pPr>
        <w:spacing w:line="253" w:lineRule="auto"/>
        <w:rPr>
          <w:rFonts w:hint="default" w:ascii="Times New Roman" w:hAnsi="Times New Roman" w:eastAsia="国标宋体" w:cs="Times New Roman"/>
          <w:color w:val="auto"/>
          <w:sz w:val="28"/>
          <w:szCs w:val="21"/>
        </w:rPr>
      </w:pPr>
    </w:p>
    <w:p w14:paraId="0A599868">
      <w:pPr>
        <w:spacing w:line="253" w:lineRule="auto"/>
        <w:rPr>
          <w:rFonts w:hint="default" w:ascii="Times New Roman" w:hAnsi="Times New Roman" w:eastAsia="国标宋体" w:cs="Times New Roman"/>
          <w:color w:val="auto"/>
          <w:sz w:val="28"/>
          <w:szCs w:val="21"/>
        </w:rPr>
      </w:pPr>
    </w:p>
    <w:p w14:paraId="331C1B77">
      <w:pPr>
        <w:spacing w:line="253" w:lineRule="auto"/>
        <w:rPr>
          <w:rFonts w:hint="default" w:ascii="Times New Roman" w:hAnsi="Times New Roman" w:eastAsia="国标宋体" w:cs="Times New Roman"/>
          <w:color w:val="auto"/>
          <w:sz w:val="28"/>
          <w:szCs w:val="21"/>
        </w:rPr>
      </w:pPr>
    </w:p>
    <w:p w14:paraId="03F12662">
      <w:pPr>
        <w:spacing w:line="253" w:lineRule="auto"/>
        <w:rPr>
          <w:rFonts w:hint="default" w:ascii="Times New Roman" w:hAnsi="Times New Roman" w:eastAsia="国标宋体" w:cs="Times New Roman"/>
          <w:color w:val="auto"/>
          <w:sz w:val="28"/>
          <w:szCs w:val="21"/>
        </w:rPr>
      </w:pPr>
    </w:p>
    <w:p w14:paraId="2CE14EC6">
      <w:pPr>
        <w:spacing w:line="365" w:lineRule="auto"/>
        <w:jc w:val="center"/>
        <w:outlineLvl w:val="9"/>
        <w:rPr>
          <w:rFonts w:hint="default" w:ascii="Times New Roman" w:hAnsi="Times New Roman" w:eastAsia="国标宋体" w:cs="Times New Roman"/>
          <w:color w:val="auto"/>
          <w:spacing w:val="-25"/>
          <w:sz w:val="56"/>
          <w:szCs w:val="56"/>
        </w:rPr>
      </w:pPr>
      <w:bookmarkStart w:id="117" w:name="_Toc10657"/>
      <w:bookmarkStart w:id="118" w:name="_Toc10177"/>
      <w:bookmarkStart w:id="119" w:name="_Toc3674"/>
      <w:r>
        <w:rPr>
          <w:rFonts w:hint="default" w:ascii="Times New Roman" w:hAnsi="Times New Roman" w:eastAsia="国标宋体" w:cs="Times New Roman"/>
          <w:color w:val="auto"/>
          <w:spacing w:val="-32"/>
          <w:sz w:val="56"/>
          <w:szCs w:val="56"/>
        </w:rPr>
        <w:t>特</w:t>
      </w:r>
      <w:r>
        <w:rPr>
          <w:rFonts w:hint="default" w:ascii="Times New Roman" w:hAnsi="Times New Roman" w:eastAsia="国标宋体" w:cs="Times New Roman"/>
          <w:color w:val="auto"/>
          <w:spacing w:val="-25"/>
          <w:sz w:val="56"/>
          <w:szCs w:val="56"/>
        </w:rPr>
        <w:t>种设备检验机构核准</w:t>
      </w:r>
      <w:bookmarkEnd w:id="117"/>
      <w:bookmarkEnd w:id="118"/>
      <w:bookmarkEnd w:id="119"/>
    </w:p>
    <w:p w14:paraId="45D91739">
      <w:pPr>
        <w:spacing w:line="365" w:lineRule="auto"/>
        <w:jc w:val="center"/>
        <w:outlineLvl w:val="9"/>
        <w:rPr>
          <w:rFonts w:hint="default" w:ascii="Times New Roman" w:hAnsi="Times New Roman" w:eastAsia="国标宋体" w:cs="Times New Roman"/>
          <w:color w:val="auto"/>
          <w:sz w:val="56"/>
          <w:szCs w:val="56"/>
        </w:rPr>
      </w:pPr>
      <w:bookmarkStart w:id="120" w:name="_Toc22771"/>
      <w:bookmarkStart w:id="121" w:name="_Toc15972"/>
      <w:bookmarkStart w:id="122" w:name="_Toc16003"/>
      <w:r>
        <w:rPr>
          <w:rFonts w:hint="default" w:ascii="Times New Roman" w:hAnsi="Times New Roman" w:eastAsia="国标宋体" w:cs="Times New Roman"/>
          <w:color w:val="auto"/>
          <w:spacing w:val="-30"/>
          <w:sz w:val="56"/>
          <w:szCs w:val="56"/>
        </w:rPr>
        <w:t>鉴</w:t>
      </w:r>
      <w:r>
        <w:rPr>
          <w:rFonts w:hint="default" w:ascii="Times New Roman" w:hAnsi="Times New Roman" w:eastAsia="国标宋体" w:cs="Times New Roman"/>
          <w:color w:val="auto"/>
          <w:spacing w:val="-25"/>
          <w:sz w:val="56"/>
          <w:szCs w:val="56"/>
        </w:rPr>
        <w:t>定评审整改报告</w:t>
      </w:r>
      <w:bookmarkEnd w:id="120"/>
      <w:bookmarkEnd w:id="121"/>
      <w:bookmarkEnd w:id="122"/>
    </w:p>
    <w:p w14:paraId="5AE7F095">
      <w:pPr>
        <w:spacing w:line="241" w:lineRule="auto"/>
        <w:rPr>
          <w:rFonts w:hint="default" w:ascii="Times New Roman" w:hAnsi="Times New Roman" w:eastAsia="国标宋体" w:cs="Times New Roman"/>
          <w:color w:val="auto"/>
          <w:sz w:val="28"/>
          <w:szCs w:val="21"/>
        </w:rPr>
      </w:pPr>
    </w:p>
    <w:p w14:paraId="3A36D8A6">
      <w:pPr>
        <w:spacing w:line="242" w:lineRule="auto"/>
        <w:rPr>
          <w:rFonts w:hint="default" w:ascii="Times New Roman" w:hAnsi="Times New Roman" w:eastAsia="国标宋体" w:cs="Times New Roman"/>
          <w:color w:val="auto"/>
          <w:sz w:val="28"/>
          <w:szCs w:val="21"/>
        </w:rPr>
      </w:pPr>
    </w:p>
    <w:p w14:paraId="1F9E66EB">
      <w:pPr>
        <w:spacing w:line="242" w:lineRule="auto"/>
        <w:rPr>
          <w:rFonts w:hint="default" w:ascii="Times New Roman" w:hAnsi="Times New Roman" w:eastAsia="国标宋体" w:cs="Times New Roman"/>
          <w:color w:val="auto"/>
          <w:sz w:val="28"/>
          <w:szCs w:val="21"/>
        </w:rPr>
      </w:pPr>
    </w:p>
    <w:p w14:paraId="216CCB2B">
      <w:pPr>
        <w:spacing w:line="242" w:lineRule="auto"/>
        <w:rPr>
          <w:rFonts w:hint="default" w:ascii="Times New Roman" w:hAnsi="Times New Roman" w:eastAsia="国标宋体" w:cs="Times New Roman"/>
          <w:color w:val="auto"/>
          <w:sz w:val="28"/>
          <w:szCs w:val="21"/>
        </w:rPr>
      </w:pPr>
    </w:p>
    <w:p w14:paraId="7E02733F">
      <w:pPr>
        <w:spacing w:line="242" w:lineRule="auto"/>
        <w:rPr>
          <w:rFonts w:hint="default" w:ascii="Times New Roman" w:hAnsi="Times New Roman" w:eastAsia="国标宋体" w:cs="Times New Roman"/>
          <w:color w:val="auto"/>
          <w:sz w:val="28"/>
          <w:szCs w:val="21"/>
        </w:rPr>
      </w:pPr>
    </w:p>
    <w:p w14:paraId="3CCF75E1">
      <w:pPr>
        <w:spacing w:line="242" w:lineRule="auto"/>
        <w:rPr>
          <w:rFonts w:hint="default" w:ascii="Times New Roman" w:hAnsi="Times New Roman" w:eastAsia="国标宋体" w:cs="Times New Roman"/>
          <w:color w:val="auto"/>
          <w:sz w:val="28"/>
          <w:szCs w:val="21"/>
        </w:rPr>
      </w:pPr>
    </w:p>
    <w:p w14:paraId="45BB9494">
      <w:pPr>
        <w:spacing w:line="242" w:lineRule="auto"/>
        <w:rPr>
          <w:rFonts w:hint="default" w:ascii="Times New Roman" w:hAnsi="Times New Roman" w:eastAsia="国标宋体" w:cs="Times New Roman"/>
          <w:color w:val="auto"/>
          <w:sz w:val="28"/>
          <w:szCs w:val="21"/>
        </w:rPr>
      </w:pPr>
    </w:p>
    <w:p w14:paraId="718385A7">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申请单位：      （盖章）</w:t>
      </w:r>
    </w:p>
    <w:p w14:paraId="019AF24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核准类别：</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首次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延续</w:t>
      </w:r>
    </w:p>
    <w:p w14:paraId="1673DC6C">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1280" w:firstLineChars="40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 xml:space="preserve">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 xml:space="preserve">增项       </w:t>
      </w:r>
      <w:r>
        <w:rPr>
          <w:rFonts w:hint="eastAsia" w:eastAsia="国标宋体" w:cs="Times New Roman"/>
          <w:color w:val="auto"/>
          <w:kern w:val="0"/>
          <w:sz w:val="32"/>
          <w:szCs w:val="32"/>
          <w:lang w:val="en-US" w:eastAsia="zh-CN"/>
        </w:rPr>
        <w:t>□</w:t>
      </w:r>
      <w:r>
        <w:rPr>
          <w:rFonts w:hint="default" w:ascii="Times New Roman" w:hAnsi="Times New Roman" w:eastAsia="国标宋体" w:cs="Times New Roman"/>
          <w:color w:val="auto"/>
          <w:kern w:val="0"/>
          <w:sz w:val="32"/>
          <w:szCs w:val="32"/>
          <w:lang w:val="en-US" w:eastAsia="zh-CN"/>
        </w:rPr>
        <w:t>变更</w:t>
      </w:r>
    </w:p>
    <w:p w14:paraId="06F2CE70">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机构类型：</w:t>
      </w:r>
    </w:p>
    <w:p w14:paraId="6AEE540D">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r>
        <w:rPr>
          <w:rFonts w:hint="default" w:ascii="Times New Roman" w:hAnsi="Times New Roman" w:eastAsia="国标宋体" w:cs="Times New Roman"/>
          <w:color w:val="auto"/>
          <w:kern w:val="0"/>
          <w:sz w:val="32"/>
          <w:szCs w:val="32"/>
          <w:lang w:val="en-US" w:eastAsia="zh-CN"/>
        </w:rPr>
        <w:t>核准项目：</w:t>
      </w:r>
    </w:p>
    <w:p w14:paraId="436B4A61">
      <w:pPr>
        <w:keepNext w:val="0"/>
        <w:keepLines w:val="0"/>
        <w:pageBreakBefore w:val="0"/>
        <w:widowControl w:val="0"/>
        <w:kinsoku/>
        <w:wordWrap/>
        <w:overflowPunct/>
        <w:topLinePunct w:val="0"/>
        <w:autoSpaceDE/>
        <w:autoSpaceDN/>
        <w:bidi w:val="0"/>
        <w:adjustRightInd w:val="0"/>
        <w:snapToGrid w:val="0"/>
        <w:spacing w:line="360" w:lineRule="auto"/>
        <w:ind w:left="2880" w:leftChars="1200" w:right="0" w:firstLine="0" w:firstLineChars="0"/>
        <w:textAlignment w:val="auto"/>
        <w:rPr>
          <w:rFonts w:hint="default" w:ascii="Times New Roman" w:hAnsi="Times New Roman" w:eastAsia="国标宋体" w:cs="Times New Roman"/>
          <w:color w:val="auto"/>
          <w:kern w:val="0"/>
          <w:sz w:val="32"/>
          <w:szCs w:val="32"/>
          <w:lang w:val="en-US" w:eastAsia="zh-CN"/>
        </w:rPr>
      </w:pPr>
    </w:p>
    <w:p w14:paraId="3FB06FB7">
      <w:pPr>
        <w:spacing w:line="310" w:lineRule="auto"/>
        <w:rPr>
          <w:rFonts w:hint="default" w:ascii="Times New Roman" w:hAnsi="Times New Roman" w:eastAsia="国标宋体" w:cs="Times New Roman"/>
          <w:color w:val="auto"/>
          <w:sz w:val="28"/>
          <w:szCs w:val="21"/>
        </w:rPr>
      </w:pPr>
    </w:p>
    <w:p w14:paraId="63B55477">
      <w:pPr>
        <w:spacing w:before="0" w:line="240" w:lineRule="auto"/>
        <w:ind w:left="0"/>
        <w:rPr>
          <w:rFonts w:hint="default" w:ascii="Times New Roman" w:hAnsi="Times New Roman" w:eastAsia="国标宋体" w:cs="Times New Roman"/>
          <w:color w:val="auto"/>
          <w:spacing w:val="-2"/>
          <w:sz w:val="32"/>
          <w:szCs w:val="32"/>
        </w:rPr>
      </w:pPr>
      <w:bookmarkStart w:id="123" w:name="_bookmark10"/>
      <w:bookmarkEnd w:id="123"/>
      <w:r>
        <w:rPr>
          <w:rFonts w:hint="default" w:ascii="Times New Roman" w:hAnsi="Times New Roman" w:eastAsia="国标宋体" w:cs="Times New Roman"/>
          <w:color w:val="auto"/>
          <w:spacing w:val="-2"/>
          <w:sz w:val="32"/>
          <w:szCs w:val="32"/>
        </w:rPr>
        <w:br w:type="page"/>
      </w:r>
    </w:p>
    <w:p w14:paraId="19F7866F">
      <w:pPr>
        <w:spacing w:before="185" w:line="229" w:lineRule="auto"/>
        <w:ind w:left="3859"/>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2"/>
          <w:sz w:val="32"/>
          <w:szCs w:val="32"/>
        </w:rPr>
        <w:t>目  录（</w:t>
      </w:r>
      <w:r>
        <w:rPr>
          <w:rFonts w:hint="default" w:ascii="Times New Roman" w:hAnsi="Times New Roman" w:eastAsia="国标宋体" w:cs="Times New Roman"/>
          <w:color w:val="auto"/>
          <w:spacing w:val="-1"/>
          <w:sz w:val="32"/>
          <w:szCs w:val="32"/>
        </w:rPr>
        <w:t>格式）</w:t>
      </w:r>
    </w:p>
    <w:p w14:paraId="734DBC6D">
      <w:pPr>
        <w:spacing w:line="225" w:lineRule="exact"/>
        <w:rPr>
          <w:rFonts w:hint="default" w:ascii="Times New Roman" w:hAnsi="Times New Roman" w:eastAsia="国标宋体" w:cs="Times New Roman"/>
          <w:color w:val="auto"/>
          <w:sz w:val="28"/>
          <w:szCs w:val="21"/>
        </w:rPr>
      </w:pPr>
    </w:p>
    <w:tbl>
      <w:tblPr>
        <w:tblStyle w:val="24"/>
        <w:tblpPr w:leftFromText="180" w:rightFromText="180" w:vertAnchor="text" w:horzAnchor="page" w:tblpX="1781" w:tblpY="245"/>
        <w:tblOverlap w:val="never"/>
        <w:tblW w:w="813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0"/>
        <w:gridCol w:w="6113"/>
        <w:gridCol w:w="1204"/>
      </w:tblGrid>
      <w:tr w14:paraId="2E7F7D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820" w:type="dxa"/>
            <w:shd w:val="clear" w:color="auto" w:fill="auto"/>
            <w:vAlign w:val="center"/>
          </w:tcPr>
          <w:p w14:paraId="62A545C4">
            <w:pPr>
              <w:spacing w:before="202"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2"/>
                <w:szCs w:val="24"/>
              </w:rPr>
              <w:t>序号</w:t>
            </w:r>
          </w:p>
        </w:tc>
        <w:tc>
          <w:tcPr>
            <w:tcW w:w="6113" w:type="dxa"/>
            <w:shd w:val="clear" w:color="auto" w:fill="auto"/>
            <w:vAlign w:val="center"/>
          </w:tcPr>
          <w:p w14:paraId="532FA312">
            <w:pPr>
              <w:spacing w:before="203" w:line="229"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6"/>
                <w:szCs w:val="24"/>
              </w:rPr>
              <w:t>文件名称</w:t>
            </w:r>
          </w:p>
        </w:tc>
        <w:tc>
          <w:tcPr>
            <w:tcW w:w="1204" w:type="dxa"/>
            <w:shd w:val="clear" w:color="auto" w:fill="auto"/>
            <w:vAlign w:val="center"/>
          </w:tcPr>
          <w:p w14:paraId="3CF2A075">
            <w:pPr>
              <w:spacing w:before="203" w:line="231"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 xml:space="preserve">页 </w:t>
            </w:r>
            <w:r>
              <w:rPr>
                <w:rFonts w:hint="default" w:ascii="Times New Roman" w:hAnsi="Times New Roman" w:eastAsia="国标宋体" w:cs="Times New Roman"/>
                <w:snapToGrid w:val="0"/>
                <w:color w:val="auto"/>
                <w:szCs w:val="24"/>
              </w:rPr>
              <w:t>数</w:t>
            </w:r>
          </w:p>
        </w:tc>
      </w:tr>
      <w:tr w14:paraId="76363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8" w:hRule="atLeast"/>
        </w:trPr>
        <w:tc>
          <w:tcPr>
            <w:tcW w:w="820" w:type="dxa"/>
            <w:vAlign w:val="center"/>
          </w:tcPr>
          <w:p w14:paraId="2BCD1D74">
            <w:pPr>
              <w:spacing w:before="136"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1</w:t>
            </w:r>
          </w:p>
        </w:tc>
        <w:tc>
          <w:tcPr>
            <w:tcW w:w="6113" w:type="dxa"/>
            <w:vAlign w:val="center"/>
          </w:tcPr>
          <w:p w14:paraId="73BA7E40">
            <w:pPr>
              <w:spacing w:before="97" w:line="228" w:lineRule="auto"/>
              <w:rPr>
                <w:rFonts w:hint="default" w:ascii="Times New Roman" w:hAnsi="Times New Roman" w:eastAsia="国标宋体" w:cs="Times New Roman"/>
                <w:snapToGrid w:val="0"/>
                <w:color w:val="auto"/>
                <w:szCs w:val="21"/>
                <w:lang w:eastAsia="zh-CN"/>
              </w:rPr>
            </w:pPr>
            <w:r>
              <w:rPr>
                <w:rFonts w:hint="default" w:ascii="Times New Roman" w:hAnsi="Times New Roman" w:eastAsia="国标宋体" w:cs="Times New Roman"/>
                <w:snapToGrid w:val="0"/>
                <w:color w:val="auto"/>
                <w:spacing w:val="15"/>
                <w:szCs w:val="24"/>
                <w:lang w:eastAsia="zh-CN"/>
              </w:rPr>
              <w:t>特种设备检验机构核准鉴定评审工作备忘录</w:t>
            </w:r>
          </w:p>
        </w:tc>
        <w:tc>
          <w:tcPr>
            <w:tcW w:w="1204" w:type="dxa"/>
            <w:vAlign w:val="center"/>
          </w:tcPr>
          <w:p w14:paraId="55240B90">
            <w:pPr>
              <w:jc w:val="center"/>
              <w:rPr>
                <w:rFonts w:hint="default" w:ascii="Times New Roman" w:hAnsi="Times New Roman" w:eastAsia="国标宋体" w:cs="Times New Roman"/>
                <w:snapToGrid w:val="0"/>
                <w:color w:val="auto"/>
                <w:sz w:val="28"/>
                <w:szCs w:val="21"/>
              </w:rPr>
            </w:pPr>
          </w:p>
        </w:tc>
      </w:tr>
      <w:tr w14:paraId="13E44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FFD1645">
            <w:pPr>
              <w:spacing w:before="139"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2</w:t>
            </w:r>
          </w:p>
        </w:tc>
        <w:tc>
          <w:tcPr>
            <w:tcW w:w="6113" w:type="dxa"/>
            <w:vAlign w:val="center"/>
          </w:tcPr>
          <w:p w14:paraId="70093A59">
            <w:pPr>
              <w:spacing w:before="98" w:line="228"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5"/>
                <w:szCs w:val="24"/>
              </w:rPr>
              <w:t>特</w:t>
            </w:r>
            <w:r>
              <w:rPr>
                <w:rFonts w:hint="default" w:ascii="Times New Roman" w:hAnsi="Times New Roman" w:eastAsia="国标宋体" w:cs="Times New Roman"/>
                <w:snapToGrid w:val="0"/>
                <w:color w:val="auto"/>
                <w:spacing w:val="9"/>
                <w:szCs w:val="24"/>
              </w:rPr>
              <w:t>种设备检验机构</w:t>
            </w:r>
            <w:r>
              <w:rPr>
                <w:rFonts w:hint="default" w:ascii="Times New Roman" w:hAnsi="Times New Roman" w:eastAsia="国标宋体" w:cs="Times New Roman"/>
                <w:snapToGrid w:val="0"/>
                <w:color w:val="auto"/>
                <w:spacing w:val="9"/>
                <w:szCs w:val="24"/>
                <w:lang w:val="en-US" w:eastAsia="zh-CN"/>
              </w:rPr>
              <w:t>核准</w:t>
            </w:r>
            <w:r>
              <w:rPr>
                <w:rFonts w:hint="default" w:ascii="Times New Roman" w:hAnsi="Times New Roman" w:eastAsia="国标宋体" w:cs="Times New Roman"/>
                <w:snapToGrid w:val="0"/>
                <w:color w:val="auto"/>
                <w:spacing w:val="9"/>
                <w:szCs w:val="24"/>
              </w:rPr>
              <w:t>鉴定评审整改报</w:t>
            </w:r>
            <w:r>
              <w:rPr>
                <w:rFonts w:hint="default" w:ascii="Times New Roman" w:hAnsi="Times New Roman" w:eastAsia="国标宋体" w:cs="Times New Roman"/>
                <w:snapToGrid w:val="0"/>
                <w:color w:val="auto"/>
                <w:spacing w:val="8"/>
                <w:szCs w:val="24"/>
              </w:rPr>
              <w:t>告</w:t>
            </w:r>
          </w:p>
        </w:tc>
        <w:tc>
          <w:tcPr>
            <w:tcW w:w="1204" w:type="dxa"/>
            <w:vAlign w:val="center"/>
          </w:tcPr>
          <w:p w14:paraId="160BBBB6">
            <w:pPr>
              <w:jc w:val="center"/>
              <w:rPr>
                <w:rFonts w:hint="default" w:ascii="Times New Roman" w:hAnsi="Times New Roman" w:eastAsia="国标宋体" w:cs="Times New Roman"/>
                <w:snapToGrid w:val="0"/>
                <w:color w:val="auto"/>
                <w:sz w:val="28"/>
                <w:szCs w:val="21"/>
              </w:rPr>
            </w:pPr>
          </w:p>
        </w:tc>
      </w:tr>
      <w:tr w14:paraId="6B63E1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3ACA6738">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3</w:t>
            </w:r>
          </w:p>
        </w:tc>
        <w:tc>
          <w:tcPr>
            <w:tcW w:w="6113" w:type="dxa"/>
            <w:vAlign w:val="center"/>
          </w:tcPr>
          <w:p w14:paraId="057D5099">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1</w:t>
            </w:r>
          </w:p>
        </w:tc>
        <w:tc>
          <w:tcPr>
            <w:tcW w:w="1204" w:type="dxa"/>
            <w:vAlign w:val="center"/>
          </w:tcPr>
          <w:p w14:paraId="0EB5C251">
            <w:pPr>
              <w:jc w:val="center"/>
              <w:rPr>
                <w:rFonts w:hint="default" w:ascii="Times New Roman" w:hAnsi="Times New Roman" w:eastAsia="国标宋体" w:cs="Times New Roman"/>
                <w:snapToGrid w:val="0"/>
                <w:color w:val="auto"/>
                <w:sz w:val="28"/>
                <w:szCs w:val="21"/>
              </w:rPr>
            </w:pPr>
          </w:p>
        </w:tc>
      </w:tr>
      <w:tr w14:paraId="1769DF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80C6419">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4</w:t>
            </w:r>
          </w:p>
        </w:tc>
        <w:tc>
          <w:tcPr>
            <w:tcW w:w="6113" w:type="dxa"/>
            <w:vAlign w:val="center"/>
          </w:tcPr>
          <w:p w14:paraId="3EF78014">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2</w:t>
            </w:r>
          </w:p>
        </w:tc>
        <w:tc>
          <w:tcPr>
            <w:tcW w:w="1204" w:type="dxa"/>
            <w:vAlign w:val="center"/>
          </w:tcPr>
          <w:p w14:paraId="0613357D">
            <w:pPr>
              <w:jc w:val="center"/>
              <w:rPr>
                <w:rFonts w:hint="default" w:ascii="Times New Roman" w:hAnsi="Times New Roman" w:eastAsia="国标宋体" w:cs="Times New Roman"/>
                <w:snapToGrid w:val="0"/>
                <w:color w:val="auto"/>
                <w:sz w:val="28"/>
                <w:szCs w:val="21"/>
              </w:rPr>
            </w:pPr>
          </w:p>
        </w:tc>
      </w:tr>
      <w:tr w14:paraId="3240A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0D4AB3">
            <w:pPr>
              <w:spacing w:before="141"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5</w:t>
            </w:r>
          </w:p>
        </w:tc>
        <w:tc>
          <w:tcPr>
            <w:tcW w:w="6113" w:type="dxa"/>
            <w:vAlign w:val="center"/>
          </w:tcPr>
          <w:p w14:paraId="0863DE94">
            <w:pPr>
              <w:spacing w:before="97"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3</w:t>
            </w:r>
          </w:p>
        </w:tc>
        <w:tc>
          <w:tcPr>
            <w:tcW w:w="1204" w:type="dxa"/>
            <w:vAlign w:val="center"/>
          </w:tcPr>
          <w:p w14:paraId="400E0030">
            <w:pPr>
              <w:jc w:val="center"/>
              <w:rPr>
                <w:rFonts w:hint="default" w:ascii="Times New Roman" w:hAnsi="Times New Roman" w:eastAsia="国标宋体" w:cs="Times New Roman"/>
                <w:snapToGrid w:val="0"/>
                <w:color w:val="auto"/>
                <w:sz w:val="28"/>
                <w:szCs w:val="21"/>
              </w:rPr>
            </w:pPr>
          </w:p>
        </w:tc>
      </w:tr>
      <w:tr w14:paraId="485756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6206093C">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6</w:t>
            </w:r>
          </w:p>
        </w:tc>
        <w:tc>
          <w:tcPr>
            <w:tcW w:w="6113" w:type="dxa"/>
            <w:vAlign w:val="center"/>
          </w:tcPr>
          <w:p w14:paraId="64D154C9">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4</w:t>
            </w:r>
          </w:p>
        </w:tc>
        <w:tc>
          <w:tcPr>
            <w:tcW w:w="1204" w:type="dxa"/>
            <w:vAlign w:val="center"/>
          </w:tcPr>
          <w:p w14:paraId="4BA6CEA2">
            <w:pPr>
              <w:jc w:val="center"/>
              <w:rPr>
                <w:rFonts w:hint="default" w:ascii="Times New Roman" w:hAnsi="Times New Roman" w:eastAsia="国标宋体" w:cs="Times New Roman"/>
                <w:snapToGrid w:val="0"/>
                <w:color w:val="auto"/>
                <w:sz w:val="28"/>
                <w:szCs w:val="21"/>
              </w:rPr>
            </w:pPr>
          </w:p>
        </w:tc>
      </w:tr>
      <w:tr w14:paraId="07BEC8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24642EA5">
            <w:pPr>
              <w:spacing w:before="143" w:line="184"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7</w:t>
            </w:r>
          </w:p>
        </w:tc>
        <w:tc>
          <w:tcPr>
            <w:tcW w:w="6113" w:type="dxa"/>
            <w:vAlign w:val="center"/>
          </w:tcPr>
          <w:p w14:paraId="2A93F2B7">
            <w:pPr>
              <w:spacing w:before="98"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5</w:t>
            </w:r>
          </w:p>
        </w:tc>
        <w:tc>
          <w:tcPr>
            <w:tcW w:w="1204" w:type="dxa"/>
            <w:vAlign w:val="center"/>
          </w:tcPr>
          <w:p w14:paraId="47836344">
            <w:pPr>
              <w:jc w:val="center"/>
              <w:rPr>
                <w:rFonts w:hint="default" w:ascii="Times New Roman" w:hAnsi="Times New Roman" w:eastAsia="国标宋体" w:cs="Times New Roman"/>
                <w:snapToGrid w:val="0"/>
                <w:color w:val="auto"/>
                <w:sz w:val="28"/>
                <w:szCs w:val="21"/>
              </w:rPr>
            </w:pPr>
          </w:p>
        </w:tc>
      </w:tr>
      <w:tr w14:paraId="52E5A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EC3DB1C">
            <w:pPr>
              <w:spacing w:before="140"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8</w:t>
            </w:r>
          </w:p>
        </w:tc>
        <w:tc>
          <w:tcPr>
            <w:tcW w:w="6113" w:type="dxa"/>
            <w:vAlign w:val="center"/>
          </w:tcPr>
          <w:p w14:paraId="65FFE2C3">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6</w:t>
            </w:r>
          </w:p>
        </w:tc>
        <w:tc>
          <w:tcPr>
            <w:tcW w:w="1204" w:type="dxa"/>
            <w:vAlign w:val="center"/>
          </w:tcPr>
          <w:p w14:paraId="1379C3F2">
            <w:pPr>
              <w:jc w:val="center"/>
              <w:rPr>
                <w:rFonts w:hint="default" w:ascii="Times New Roman" w:hAnsi="Times New Roman" w:eastAsia="国标宋体" w:cs="Times New Roman"/>
                <w:snapToGrid w:val="0"/>
                <w:color w:val="auto"/>
                <w:sz w:val="28"/>
                <w:szCs w:val="21"/>
              </w:rPr>
            </w:pPr>
          </w:p>
        </w:tc>
      </w:tr>
      <w:tr w14:paraId="181EA7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20" w:type="dxa"/>
            <w:vAlign w:val="center"/>
          </w:tcPr>
          <w:p w14:paraId="79141CF4">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zCs w:val="24"/>
              </w:rPr>
              <w:t>9</w:t>
            </w:r>
          </w:p>
        </w:tc>
        <w:tc>
          <w:tcPr>
            <w:tcW w:w="6113" w:type="dxa"/>
            <w:vAlign w:val="center"/>
          </w:tcPr>
          <w:p w14:paraId="689387A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7</w:t>
            </w:r>
          </w:p>
        </w:tc>
        <w:tc>
          <w:tcPr>
            <w:tcW w:w="1204" w:type="dxa"/>
            <w:vAlign w:val="center"/>
          </w:tcPr>
          <w:p w14:paraId="3FDDDB2C">
            <w:pPr>
              <w:jc w:val="center"/>
              <w:rPr>
                <w:rFonts w:hint="default" w:ascii="Times New Roman" w:hAnsi="Times New Roman" w:eastAsia="国标宋体" w:cs="Times New Roman"/>
                <w:snapToGrid w:val="0"/>
                <w:color w:val="auto"/>
                <w:sz w:val="28"/>
                <w:szCs w:val="21"/>
              </w:rPr>
            </w:pPr>
          </w:p>
        </w:tc>
      </w:tr>
      <w:tr w14:paraId="7043B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1172F786">
            <w:pPr>
              <w:spacing w:before="141"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0</w:t>
            </w:r>
          </w:p>
        </w:tc>
        <w:tc>
          <w:tcPr>
            <w:tcW w:w="6113" w:type="dxa"/>
            <w:vAlign w:val="center"/>
          </w:tcPr>
          <w:p w14:paraId="2AC6A8A0">
            <w:pPr>
              <w:spacing w:before="99"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8</w:t>
            </w:r>
          </w:p>
        </w:tc>
        <w:tc>
          <w:tcPr>
            <w:tcW w:w="1204" w:type="dxa"/>
            <w:vAlign w:val="center"/>
          </w:tcPr>
          <w:p w14:paraId="32E1C57B">
            <w:pPr>
              <w:jc w:val="center"/>
              <w:rPr>
                <w:rFonts w:hint="default" w:ascii="Times New Roman" w:hAnsi="Times New Roman" w:eastAsia="国标宋体" w:cs="Times New Roman"/>
                <w:snapToGrid w:val="0"/>
                <w:color w:val="auto"/>
                <w:sz w:val="28"/>
                <w:szCs w:val="21"/>
              </w:rPr>
            </w:pPr>
          </w:p>
        </w:tc>
      </w:tr>
      <w:tr w14:paraId="682E89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4" w:hRule="atLeast"/>
        </w:trPr>
        <w:tc>
          <w:tcPr>
            <w:tcW w:w="820" w:type="dxa"/>
            <w:vAlign w:val="center"/>
          </w:tcPr>
          <w:p w14:paraId="39AEC3E7">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1</w:t>
            </w:r>
          </w:p>
        </w:tc>
        <w:tc>
          <w:tcPr>
            <w:tcW w:w="6113" w:type="dxa"/>
            <w:vAlign w:val="center"/>
          </w:tcPr>
          <w:p w14:paraId="14504928">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w:t>
            </w:r>
            <w:r>
              <w:rPr>
                <w:rFonts w:hint="default" w:ascii="Times New Roman" w:hAnsi="Times New Roman" w:eastAsia="国标宋体" w:cs="Times New Roman"/>
                <w:snapToGrid w:val="0"/>
                <w:color w:val="auto"/>
                <w:szCs w:val="24"/>
              </w:rPr>
              <w:t>9</w:t>
            </w:r>
          </w:p>
        </w:tc>
        <w:tc>
          <w:tcPr>
            <w:tcW w:w="1204" w:type="dxa"/>
            <w:vAlign w:val="center"/>
          </w:tcPr>
          <w:p w14:paraId="771440A1">
            <w:pPr>
              <w:jc w:val="center"/>
              <w:rPr>
                <w:rFonts w:hint="default" w:ascii="Times New Roman" w:hAnsi="Times New Roman" w:eastAsia="国标宋体" w:cs="Times New Roman"/>
                <w:snapToGrid w:val="0"/>
                <w:color w:val="auto"/>
                <w:sz w:val="28"/>
                <w:szCs w:val="21"/>
              </w:rPr>
            </w:pPr>
          </w:p>
        </w:tc>
      </w:tr>
      <w:tr w14:paraId="787AB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820" w:type="dxa"/>
            <w:vAlign w:val="center"/>
          </w:tcPr>
          <w:p w14:paraId="144B8893">
            <w:pPr>
              <w:spacing w:before="140" w:line="187"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2</w:t>
            </w:r>
          </w:p>
        </w:tc>
        <w:tc>
          <w:tcPr>
            <w:tcW w:w="6113" w:type="dxa"/>
            <w:vAlign w:val="center"/>
          </w:tcPr>
          <w:p w14:paraId="6EC328C7">
            <w:pPr>
              <w:spacing w:before="100"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0</w:t>
            </w:r>
          </w:p>
        </w:tc>
        <w:tc>
          <w:tcPr>
            <w:tcW w:w="1204" w:type="dxa"/>
            <w:vAlign w:val="center"/>
          </w:tcPr>
          <w:p w14:paraId="664B6FA9">
            <w:pPr>
              <w:jc w:val="center"/>
              <w:rPr>
                <w:rFonts w:hint="default" w:ascii="Times New Roman" w:hAnsi="Times New Roman" w:eastAsia="国标宋体" w:cs="Times New Roman"/>
                <w:snapToGrid w:val="0"/>
                <w:color w:val="auto"/>
                <w:sz w:val="28"/>
                <w:szCs w:val="21"/>
              </w:rPr>
            </w:pPr>
          </w:p>
        </w:tc>
      </w:tr>
      <w:tr w14:paraId="7BCF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820" w:type="dxa"/>
            <w:vAlign w:val="center"/>
          </w:tcPr>
          <w:p w14:paraId="7FA48988">
            <w:pPr>
              <w:spacing w:before="143" w:line="186" w:lineRule="auto"/>
              <w:jc w:val="center"/>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9"/>
                <w:szCs w:val="24"/>
              </w:rPr>
              <w:t>1</w:t>
            </w:r>
            <w:r>
              <w:rPr>
                <w:rFonts w:hint="default" w:ascii="Times New Roman" w:hAnsi="Times New Roman" w:eastAsia="国标宋体" w:cs="Times New Roman"/>
                <w:snapToGrid w:val="0"/>
                <w:color w:val="auto"/>
                <w:spacing w:val="-8"/>
                <w:szCs w:val="24"/>
              </w:rPr>
              <w:t>3</w:t>
            </w:r>
          </w:p>
        </w:tc>
        <w:tc>
          <w:tcPr>
            <w:tcW w:w="6113" w:type="dxa"/>
            <w:vAlign w:val="center"/>
          </w:tcPr>
          <w:p w14:paraId="1590D446">
            <w:pPr>
              <w:spacing w:before="101" w:line="231" w:lineRule="auto"/>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
                <w:szCs w:val="24"/>
              </w:rPr>
              <w:t>附件1</w:t>
            </w:r>
            <w:r>
              <w:rPr>
                <w:rFonts w:hint="default" w:ascii="Times New Roman" w:hAnsi="Times New Roman" w:eastAsia="国标宋体" w:cs="Times New Roman"/>
                <w:snapToGrid w:val="0"/>
                <w:color w:val="auto"/>
                <w:szCs w:val="24"/>
              </w:rPr>
              <w:t>1</w:t>
            </w:r>
          </w:p>
        </w:tc>
        <w:tc>
          <w:tcPr>
            <w:tcW w:w="1204" w:type="dxa"/>
            <w:vAlign w:val="center"/>
          </w:tcPr>
          <w:p w14:paraId="5DE4D217">
            <w:pPr>
              <w:jc w:val="center"/>
              <w:rPr>
                <w:rFonts w:hint="default" w:ascii="Times New Roman" w:hAnsi="Times New Roman" w:eastAsia="国标宋体" w:cs="Times New Roman"/>
                <w:snapToGrid w:val="0"/>
                <w:color w:val="auto"/>
                <w:sz w:val="28"/>
                <w:szCs w:val="21"/>
              </w:rPr>
            </w:pPr>
          </w:p>
        </w:tc>
      </w:tr>
    </w:tbl>
    <w:p w14:paraId="0855FE88">
      <w:pPr>
        <w:rPr>
          <w:rFonts w:hint="default" w:ascii="Times New Roman" w:hAnsi="Times New Roman" w:eastAsia="国标宋体" w:cs="Times New Roman"/>
          <w:color w:val="auto"/>
          <w:sz w:val="28"/>
          <w:szCs w:val="21"/>
        </w:rPr>
      </w:pPr>
    </w:p>
    <w:p w14:paraId="76FD6FF8">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5DECD1B4">
      <w:pPr>
        <w:spacing w:before="188" w:line="617" w:lineRule="exact"/>
        <w:ind w:left="2975"/>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5"/>
          <w:position w:val="22"/>
          <w:sz w:val="32"/>
          <w:szCs w:val="32"/>
        </w:rPr>
        <w:t>关于****************核准</w:t>
      </w:r>
    </w:p>
    <w:p w14:paraId="70128D71">
      <w:pPr>
        <w:spacing w:before="1" w:line="227" w:lineRule="auto"/>
        <w:ind w:left="3451"/>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16"/>
          <w:sz w:val="32"/>
          <w:szCs w:val="32"/>
        </w:rPr>
        <w:t>鉴</w:t>
      </w:r>
      <w:r>
        <w:rPr>
          <w:rFonts w:hint="default" w:ascii="Times New Roman" w:hAnsi="Times New Roman" w:eastAsia="国标宋体" w:cs="Times New Roman"/>
          <w:color w:val="auto"/>
          <w:spacing w:val="-9"/>
          <w:sz w:val="32"/>
          <w:szCs w:val="32"/>
        </w:rPr>
        <w:t>定评审的整改报告</w:t>
      </w:r>
    </w:p>
    <w:p w14:paraId="7A19D1FC">
      <w:pPr>
        <w:spacing w:before="280" w:line="222" w:lineRule="auto"/>
        <w:ind w:left="198"/>
        <w:rPr>
          <w:rFonts w:hint="default" w:ascii="Times New Roman" w:hAnsi="Times New Roman" w:eastAsia="国标宋体" w:cs="Times New Roman"/>
          <w:color w:val="auto"/>
          <w:spacing w:val="-4"/>
          <w:sz w:val="28"/>
          <w:szCs w:val="28"/>
        </w:rPr>
      </w:pPr>
      <w:r>
        <w:rPr>
          <w:rFonts w:hint="default" w:ascii="Times New Roman" w:hAnsi="Times New Roman" w:eastAsia="国标宋体" w:cs="Times New Roman"/>
          <w:color w:val="auto"/>
          <w:spacing w:val="-4"/>
          <w:sz w:val="28"/>
          <w:szCs w:val="28"/>
          <w:lang w:eastAsia="zh-CN"/>
        </w:rPr>
        <w:t>四川省质量技术审评中心</w:t>
      </w:r>
      <w:r>
        <w:rPr>
          <w:rFonts w:hint="default" w:ascii="Times New Roman" w:hAnsi="Times New Roman" w:eastAsia="国标宋体" w:cs="Times New Roman"/>
          <w:color w:val="auto"/>
          <w:spacing w:val="-4"/>
          <w:sz w:val="28"/>
          <w:szCs w:val="28"/>
        </w:rPr>
        <w:t>：</w:t>
      </w:r>
    </w:p>
    <w:p w14:paraId="191CF862">
      <w:pPr>
        <w:spacing w:before="203" w:line="359" w:lineRule="auto"/>
        <w:ind w:left="165" w:firstLine="59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4"/>
          <w:sz w:val="28"/>
          <w:szCs w:val="28"/>
        </w:rPr>
        <w:t>由贵中心派出的评审组于＊＊年＊＊月＊＊ 日至＊＊月＊＊ 日对我单位</w:t>
      </w:r>
      <w:r>
        <w:rPr>
          <w:rFonts w:hint="default" w:ascii="Times New Roman" w:hAnsi="Times New Roman" w:eastAsia="国标宋体" w:cs="Times New Roman"/>
          <w:color w:val="auto"/>
          <w:sz w:val="28"/>
          <w:szCs w:val="28"/>
        </w:rPr>
        <w:t>进</w:t>
      </w:r>
      <w:r>
        <w:rPr>
          <w:rFonts w:hint="default" w:ascii="Times New Roman" w:hAnsi="Times New Roman" w:eastAsia="国标宋体" w:cs="Times New Roman"/>
          <w:color w:val="auto"/>
          <w:spacing w:val="2"/>
          <w:sz w:val="28"/>
          <w:szCs w:val="28"/>
        </w:rPr>
        <w:t>行了现场鉴定评审。现场鉴定评审结</w:t>
      </w:r>
      <w:r>
        <w:rPr>
          <w:rFonts w:hint="default" w:ascii="Times New Roman" w:hAnsi="Times New Roman" w:eastAsia="国标宋体" w:cs="Times New Roman"/>
          <w:color w:val="auto"/>
          <w:spacing w:val="1"/>
          <w:sz w:val="28"/>
          <w:szCs w:val="28"/>
        </w:rPr>
        <w:t>束后，我单位于＊＊年＊＊月＊＊日接</w:t>
      </w:r>
      <w:r>
        <w:rPr>
          <w:rFonts w:hint="default" w:ascii="Times New Roman" w:hAnsi="Times New Roman" w:eastAsia="国标宋体" w:cs="Times New Roman"/>
          <w:color w:val="auto"/>
          <w:spacing w:val="-4"/>
          <w:sz w:val="28"/>
          <w:szCs w:val="28"/>
        </w:rPr>
        <w:t>到《</w:t>
      </w:r>
      <w:r>
        <w:rPr>
          <w:rFonts w:hint="default" w:ascii="Times New Roman" w:hAnsi="Times New Roman" w:eastAsia="国标宋体" w:cs="Times New Roman"/>
          <w:color w:val="auto"/>
          <w:spacing w:val="-4"/>
          <w:sz w:val="28"/>
          <w:szCs w:val="28"/>
          <w:lang w:eastAsia="zh-CN"/>
        </w:rPr>
        <w:t>特种设备检验机构核准鉴定评审工作备忘录</w:t>
      </w:r>
      <w:r>
        <w:rPr>
          <w:rFonts w:hint="default" w:ascii="Times New Roman" w:hAnsi="Times New Roman" w:eastAsia="国标宋体" w:cs="Times New Roman"/>
          <w:color w:val="auto"/>
          <w:spacing w:val="2"/>
          <w:sz w:val="28"/>
          <w:szCs w:val="28"/>
        </w:rPr>
        <w:t>》</w:t>
      </w:r>
      <w:r>
        <w:rPr>
          <w:rFonts w:hint="default" w:ascii="Times New Roman" w:hAnsi="Times New Roman" w:eastAsia="国标宋体" w:cs="Times New Roman"/>
          <w:color w:val="auto"/>
          <w:spacing w:val="-2"/>
          <w:sz w:val="28"/>
          <w:szCs w:val="28"/>
        </w:rPr>
        <w:t>（以下简</w:t>
      </w:r>
      <w:r>
        <w:rPr>
          <w:rFonts w:hint="default" w:ascii="Times New Roman" w:hAnsi="Times New Roman" w:eastAsia="国标宋体" w:cs="Times New Roman"/>
          <w:color w:val="auto"/>
          <w:spacing w:val="2"/>
          <w:sz w:val="28"/>
          <w:szCs w:val="28"/>
        </w:rPr>
        <w:t>称《</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》）。就</w:t>
      </w:r>
      <w:r>
        <w:rPr>
          <w:rFonts w:hint="default" w:ascii="Times New Roman" w:hAnsi="Times New Roman" w:eastAsia="国标宋体" w:cs="Times New Roman"/>
          <w:color w:val="auto"/>
          <w:spacing w:val="-4"/>
          <w:sz w:val="28"/>
          <w:szCs w:val="28"/>
        </w:rPr>
        <w:t>备忘录</w:t>
      </w:r>
      <w:r>
        <w:rPr>
          <w:rFonts w:hint="default" w:ascii="Times New Roman" w:hAnsi="Times New Roman" w:eastAsia="国标宋体" w:cs="Times New Roman"/>
          <w:color w:val="auto"/>
          <w:spacing w:val="2"/>
          <w:sz w:val="28"/>
          <w:szCs w:val="28"/>
        </w:rPr>
        <w:t>中</w:t>
      </w:r>
      <w:r>
        <w:rPr>
          <w:rFonts w:hint="default" w:ascii="Times New Roman" w:hAnsi="Times New Roman" w:eastAsia="国标宋体" w:cs="Times New Roman"/>
          <w:color w:val="auto"/>
          <w:spacing w:val="1"/>
          <w:sz w:val="28"/>
          <w:szCs w:val="28"/>
        </w:rPr>
        <w:t>所提出的＊＊个方面的＊＊个问题，我单位于＊</w:t>
      </w:r>
      <w:r>
        <w:rPr>
          <w:rFonts w:hint="default" w:ascii="Times New Roman" w:hAnsi="Times New Roman" w:eastAsia="国标宋体" w:cs="Times New Roman"/>
          <w:color w:val="auto"/>
          <w:sz w:val="28"/>
          <w:szCs w:val="28"/>
        </w:rPr>
        <w:t xml:space="preserve"> </w:t>
      </w:r>
      <w:r>
        <w:rPr>
          <w:rFonts w:hint="default" w:ascii="Times New Roman" w:hAnsi="Times New Roman" w:eastAsia="国标宋体" w:cs="Times New Roman"/>
          <w:color w:val="auto"/>
          <w:spacing w:val="-9"/>
          <w:sz w:val="28"/>
          <w:szCs w:val="28"/>
        </w:rPr>
        <w:t>＊</w:t>
      </w:r>
      <w:r>
        <w:rPr>
          <w:rFonts w:hint="default" w:ascii="Times New Roman" w:hAnsi="Times New Roman" w:eastAsia="国标宋体" w:cs="Times New Roman"/>
          <w:color w:val="auto"/>
          <w:spacing w:val="-5"/>
          <w:sz w:val="28"/>
          <w:szCs w:val="28"/>
        </w:rPr>
        <w:t>年＊＊ 月＊＊ 日完成了全部整改工作。</w:t>
      </w:r>
    </w:p>
    <w:p w14:paraId="733D1272">
      <w:pPr>
        <w:spacing w:before="203" w:line="359" w:lineRule="auto"/>
        <w:ind w:left="165" w:firstLine="595"/>
        <w:rPr>
          <w:rFonts w:hint="default" w:ascii="Times New Roman" w:hAnsi="Times New Roman" w:eastAsia="国标宋体" w:cs="Times New Roman"/>
          <w:color w:val="auto"/>
          <w:spacing w:val="-4"/>
          <w:sz w:val="32"/>
          <w:szCs w:val="32"/>
        </w:rPr>
      </w:pPr>
      <w:r>
        <w:rPr>
          <w:rFonts w:hint="default" w:ascii="Times New Roman" w:hAnsi="Times New Roman" w:eastAsia="国标宋体" w:cs="Times New Roman"/>
          <w:color w:val="auto"/>
          <w:spacing w:val="-4"/>
          <w:sz w:val="28"/>
          <w:szCs w:val="28"/>
        </w:rPr>
        <w:t>我单位承诺所提交的整改报告及</w:t>
      </w:r>
      <w:r>
        <w:rPr>
          <w:rFonts w:hint="eastAsia" w:eastAsia="国标宋体" w:cs="Times New Roman"/>
          <w:color w:val="auto"/>
          <w:spacing w:val="-4"/>
          <w:sz w:val="28"/>
          <w:szCs w:val="28"/>
          <w:lang w:eastAsia="zh-CN"/>
        </w:rPr>
        <w:t>见证资料</w:t>
      </w:r>
      <w:r>
        <w:rPr>
          <w:rFonts w:hint="default" w:ascii="Times New Roman" w:hAnsi="Times New Roman" w:eastAsia="国标宋体" w:cs="Times New Roman"/>
          <w:color w:val="auto"/>
          <w:spacing w:val="-4"/>
          <w:sz w:val="28"/>
          <w:szCs w:val="28"/>
        </w:rPr>
        <w:t>真实可靠。</w:t>
      </w:r>
    </w:p>
    <w:p w14:paraId="57CD3240">
      <w:pPr>
        <w:spacing w:line="246" w:lineRule="auto"/>
        <w:rPr>
          <w:rFonts w:hint="default" w:ascii="Times New Roman" w:hAnsi="Times New Roman" w:eastAsia="国标宋体" w:cs="Times New Roman"/>
          <w:color w:val="auto"/>
          <w:sz w:val="28"/>
          <w:szCs w:val="21"/>
        </w:rPr>
      </w:pPr>
    </w:p>
    <w:p w14:paraId="5005B3E0">
      <w:pPr>
        <w:spacing w:line="247" w:lineRule="auto"/>
        <w:rPr>
          <w:rFonts w:hint="default" w:ascii="Times New Roman" w:hAnsi="Times New Roman" w:eastAsia="国标宋体" w:cs="Times New Roman"/>
          <w:color w:val="auto"/>
          <w:sz w:val="28"/>
          <w:szCs w:val="21"/>
        </w:rPr>
      </w:pPr>
    </w:p>
    <w:p w14:paraId="73CCC806">
      <w:pPr>
        <w:spacing w:line="247" w:lineRule="auto"/>
        <w:rPr>
          <w:rFonts w:hint="default" w:ascii="Times New Roman" w:hAnsi="Times New Roman" w:eastAsia="国标宋体" w:cs="Times New Roman"/>
          <w:color w:val="auto"/>
          <w:sz w:val="28"/>
          <w:szCs w:val="21"/>
        </w:rPr>
      </w:pPr>
    </w:p>
    <w:p w14:paraId="57C3DAD3">
      <w:pPr>
        <w:spacing w:line="247" w:lineRule="auto"/>
        <w:rPr>
          <w:rFonts w:hint="default" w:ascii="Times New Roman" w:hAnsi="Times New Roman" w:eastAsia="国标宋体" w:cs="Times New Roman"/>
          <w:color w:val="auto"/>
          <w:sz w:val="28"/>
          <w:szCs w:val="21"/>
        </w:rPr>
      </w:pPr>
    </w:p>
    <w:p w14:paraId="42E158A7">
      <w:pPr>
        <w:spacing w:line="247" w:lineRule="auto"/>
        <w:rPr>
          <w:rFonts w:hint="default" w:ascii="Times New Roman" w:hAnsi="Times New Roman" w:eastAsia="国标宋体" w:cs="Times New Roman"/>
          <w:color w:val="auto"/>
          <w:sz w:val="28"/>
          <w:szCs w:val="21"/>
        </w:rPr>
      </w:pPr>
    </w:p>
    <w:p w14:paraId="4781E3CC">
      <w:pPr>
        <w:spacing w:line="247" w:lineRule="auto"/>
        <w:rPr>
          <w:rFonts w:hint="default" w:ascii="Times New Roman" w:hAnsi="Times New Roman" w:eastAsia="国标宋体" w:cs="Times New Roman"/>
          <w:color w:val="auto"/>
          <w:sz w:val="28"/>
          <w:szCs w:val="21"/>
        </w:rPr>
      </w:pPr>
    </w:p>
    <w:p w14:paraId="2FC05F8F">
      <w:pPr>
        <w:spacing w:line="247" w:lineRule="auto"/>
        <w:rPr>
          <w:rFonts w:hint="default" w:ascii="Times New Roman" w:hAnsi="Times New Roman" w:eastAsia="国标宋体" w:cs="Times New Roman"/>
          <w:color w:val="auto"/>
          <w:sz w:val="28"/>
          <w:szCs w:val="21"/>
        </w:rPr>
      </w:pPr>
    </w:p>
    <w:p w14:paraId="686A3EE1">
      <w:pPr>
        <w:spacing w:line="247" w:lineRule="auto"/>
        <w:rPr>
          <w:rFonts w:hint="default" w:ascii="Times New Roman" w:hAnsi="Times New Roman" w:eastAsia="国标宋体" w:cs="Times New Roman"/>
          <w:color w:val="auto"/>
          <w:sz w:val="28"/>
          <w:szCs w:val="21"/>
        </w:rPr>
      </w:pPr>
    </w:p>
    <w:p w14:paraId="6FFFCD78">
      <w:pPr>
        <w:spacing w:line="247" w:lineRule="auto"/>
        <w:rPr>
          <w:rFonts w:hint="default" w:ascii="Times New Roman" w:hAnsi="Times New Roman" w:eastAsia="国标宋体" w:cs="Times New Roman"/>
          <w:color w:val="auto"/>
          <w:sz w:val="28"/>
          <w:szCs w:val="21"/>
        </w:rPr>
      </w:pPr>
    </w:p>
    <w:p w14:paraId="16FBAD1D">
      <w:pPr>
        <w:spacing w:line="247" w:lineRule="auto"/>
        <w:rPr>
          <w:rFonts w:hint="default" w:ascii="Times New Roman" w:hAnsi="Times New Roman" w:eastAsia="国标宋体" w:cs="Times New Roman"/>
          <w:color w:val="auto"/>
          <w:sz w:val="28"/>
          <w:szCs w:val="28"/>
        </w:rPr>
      </w:pPr>
    </w:p>
    <w:p w14:paraId="0AA75666">
      <w:pPr>
        <w:spacing w:before="91" w:line="223" w:lineRule="auto"/>
        <w:ind w:left="64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31"/>
          <w:sz w:val="28"/>
          <w:szCs w:val="28"/>
        </w:rPr>
        <w:t>（</w:t>
      </w:r>
      <w:r>
        <w:rPr>
          <w:rFonts w:hint="default" w:ascii="Times New Roman" w:hAnsi="Times New Roman" w:eastAsia="国标宋体" w:cs="Times New Roman"/>
          <w:color w:val="auto"/>
          <w:spacing w:val="30"/>
          <w:sz w:val="28"/>
          <w:szCs w:val="28"/>
        </w:rPr>
        <w:t>盖章）</w:t>
      </w:r>
    </w:p>
    <w:p w14:paraId="4491A5F9">
      <w:pPr>
        <w:spacing w:before="201" w:line="223" w:lineRule="auto"/>
        <w:ind w:left="473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6"/>
          <w:sz w:val="28"/>
          <w:szCs w:val="28"/>
        </w:rPr>
        <w:t>年</w:t>
      </w:r>
      <w:r>
        <w:rPr>
          <w:rFonts w:hint="default" w:ascii="Times New Roman" w:hAnsi="Times New Roman" w:eastAsia="国标宋体" w:cs="Times New Roman"/>
          <w:color w:val="auto"/>
          <w:spacing w:val="4"/>
          <w:sz w:val="28"/>
          <w:szCs w:val="28"/>
        </w:rPr>
        <w:t xml:space="preserve">     月     日</w:t>
      </w:r>
    </w:p>
    <w:p w14:paraId="2ACB7737">
      <w:pPr>
        <w:rPr>
          <w:rFonts w:hint="default" w:ascii="Times New Roman" w:hAnsi="Times New Roman" w:eastAsia="国标宋体" w:cs="Times New Roman"/>
          <w:color w:val="auto"/>
          <w:sz w:val="28"/>
          <w:szCs w:val="28"/>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D455E58">
      <w:pPr>
        <w:spacing w:before="188" w:line="224" w:lineRule="auto"/>
        <w:ind w:left="105"/>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pacing w:val="12"/>
          <w:sz w:val="28"/>
          <w:szCs w:val="28"/>
        </w:rPr>
        <w:t>（</w:t>
      </w:r>
      <w:r>
        <w:rPr>
          <w:rFonts w:hint="default" w:ascii="Times New Roman" w:hAnsi="Times New Roman" w:eastAsia="国标宋体" w:cs="Times New Roman"/>
          <w:color w:val="auto"/>
          <w:spacing w:val="11"/>
          <w:sz w:val="28"/>
          <w:szCs w:val="28"/>
        </w:rPr>
        <w:t>附件 1）：</w:t>
      </w:r>
    </w:p>
    <w:p w14:paraId="62A398A7">
      <w:pPr>
        <w:spacing w:line="360" w:lineRule="auto"/>
        <w:jc w:val="center"/>
        <w:outlineLvl w:val="9"/>
        <w:rPr>
          <w:rFonts w:hint="default" w:ascii="Times New Roman" w:hAnsi="Times New Roman" w:eastAsia="国标宋体" w:cs="Times New Roman"/>
          <w:color w:val="auto"/>
          <w:sz w:val="32"/>
          <w:szCs w:val="32"/>
        </w:rPr>
      </w:pPr>
      <w:bookmarkStart w:id="124" w:name="_Toc16360"/>
      <w:bookmarkStart w:id="125" w:name="_Toc28022"/>
      <w:bookmarkStart w:id="126" w:name="_Toc15095"/>
      <w:r>
        <w:rPr>
          <w:rFonts w:hint="default" w:ascii="Times New Roman" w:hAnsi="Times New Roman" w:eastAsia="国标宋体" w:cs="Times New Roman"/>
          <w:color w:val="auto"/>
          <w:spacing w:val="12"/>
          <w:position w:val="17"/>
          <w:sz w:val="32"/>
          <w:szCs w:val="32"/>
          <w:lang w:eastAsia="zh-CN"/>
        </w:rPr>
        <w:t>特种设备检验机构核准鉴定评审</w:t>
      </w:r>
      <w:r>
        <w:rPr>
          <w:rFonts w:hint="default" w:ascii="Times New Roman" w:hAnsi="Times New Roman" w:eastAsia="国标宋体" w:cs="Times New Roman"/>
          <w:color w:val="auto"/>
          <w:spacing w:val="9"/>
          <w:position w:val="17"/>
          <w:sz w:val="32"/>
          <w:szCs w:val="32"/>
        </w:rPr>
        <w:t>不符合项目</w:t>
      </w:r>
      <w:bookmarkEnd w:id="124"/>
      <w:bookmarkEnd w:id="125"/>
      <w:bookmarkEnd w:id="126"/>
    </w:p>
    <w:p w14:paraId="180B1267">
      <w:pPr>
        <w:spacing w:line="360" w:lineRule="auto"/>
        <w:jc w:val="center"/>
        <w:rPr>
          <w:rFonts w:hint="default" w:ascii="Times New Roman" w:hAnsi="Times New Roman" w:eastAsia="国标宋体" w:cs="Times New Roman"/>
          <w:color w:val="auto"/>
          <w:sz w:val="32"/>
          <w:szCs w:val="32"/>
        </w:rPr>
      </w:pPr>
      <w:r>
        <w:rPr>
          <w:rFonts w:hint="default" w:ascii="Times New Roman" w:hAnsi="Times New Roman" w:eastAsia="国标宋体" w:cs="Times New Roman"/>
          <w:color w:val="auto"/>
          <w:spacing w:val="7"/>
          <w:sz w:val="32"/>
          <w:szCs w:val="32"/>
        </w:rPr>
        <w:t>分</w:t>
      </w:r>
      <w:r>
        <w:rPr>
          <w:rFonts w:hint="default" w:ascii="Times New Roman" w:hAnsi="Times New Roman" w:eastAsia="国标宋体" w:cs="Times New Roman"/>
          <w:color w:val="auto"/>
          <w:spacing w:val="6"/>
          <w:sz w:val="32"/>
          <w:szCs w:val="32"/>
        </w:rPr>
        <w:t>析整改表</w:t>
      </w:r>
    </w:p>
    <w:tbl>
      <w:tblPr>
        <w:tblStyle w:val="24"/>
        <w:tblpPr w:leftFromText="180" w:rightFromText="180" w:vertAnchor="text" w:horzAnchor="page" w:tblpX="1410" w:tblpY="386"/>
        <w:tblOverlap w:val="never"/>
        <w:tblW w:w="891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19"/>
      </w:tblGrid>
      <w:tr w14:paraId="221711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8919" w:type="dxa"/>
          </w:tcPr>
          <w:p w14:paraId="15389148">
            <w:pPr>
              <w:spacing w:before="119" w:line="229" w:lineRule="auto"/>
              <w:ind w:left="129"/>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4"/>
                <w:szCs w:val="24"/>
              </w:rPr>
              <w:t>鉴</w:t>
            </w:r>
            <w:r>
              <w:rPr>
                <w:rFonts w:hint="default" w:ascii="Times New Roman" w:hAnsi="Times New Roman" w:eastAsia="国标宋体" w:cs="Times New Roman"/>
                <w:snapToGrid w:val="0"/>
                <w:color w:val="auto"/>
                <w:spacing w:val="9"/>
                <w:szCs w:val="24"/>
              </w:rPr>
              <w:t>定</w:t>
            </w:r>
            <w:r>
              <w:rPr>
                <w:rFonts w:hint="default" w:ascii="Times New Roman" w:hAnsi="Times New Roman" w:eastAsia="国标宋体" w:cs="Times New Roman"/>
                <w:snapToGrid w:val="0"/>
                <w:color w:val="auto"/>
                <w:spacing w:val="7"/>
                <w:szCs w:val="24"/>
              </w:rPr>
              <w:t>评审提出的不符合项目：</w:t>
            </w:r>
          </w:p>
        </w:tc>
      </w:tr>
      <w:tr w14:paraId="2D4B94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3" w:hRule="atLeast"/>
        </w:trPr>
        <w:tc>
          <w:tcPr>
            <w:tcW w:w="8919" w:type="dxa"/>
          </w:tcPr>
          <w:p w14:paraId="3FA5BFAE">
            <w:pPr>
              <w:spacing w:before="118" w:line="230" w:lineRule="auto"/>
              <w:ind w:left="127"/>
              <w:rPr>
                <w:rFonts w:hint="default" w:ascii="Times New Roman" w:hAnsi="Times New Roman" w:eastAsia="国标宋体" w:cs="Times New Roman"/>
                <w:snapToGrid w:val="0"/>
                <w:color w:val="auto"/>
                <w:szCs w:val="21"/>
              </w:rPr>
            </w:pPr>
            <w:r>
              <w:rPr>
                <w:rFonts w:hint="default" w:ascii="Times New Roman" w:hAnsi="Times New Roman" w:eastAsia="国标宋体" w:cs="Times New Roman"/>
                <w:snapToGrid w:val="0"/>
                <w:color w:val="auto"/>
                <w:spacing w:val="12"/>
                <w:szCs w:val="24"/>
              </w:rPr>
              <w:t>采</w:t>
            </w:r>
            <w:r>
              <w:rPr>
                <w:rFonts w:hint="default" w:ascii="Times New Roman" w:hAnsi="Times New Roman" w:eastAsia="国标宋体" w:cs="Times New Roman"/>
                <w:snapToGrid w:val="0"/>
                <w:color w:val="auto"/>
                <w:spacing w:val="7"/>
                <w:szCs w:val="24"/>
              </w:rPr>
              <w:t>取的纠正或纠正措施：</w:t>
            </w:r>
          </w:p>
        </w:tc>
      </w:tr>
      <w:tr w14:paraId="01F80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5" w:hRule="atLeast"/>
        </w:trPr>
        <w:tc>
          <w:tcPr>
            <w:tcW w:w="8919" w:type="dxa"/>
          </w:tcPr>
          <w:p w14:paraId="2C2047BA">
            <w:pPr>
              <w:spacing w:before="117" w:line="229" w:lineRule="auto"/>
              <w:ind w:left="127"/>
              <w:rPr>
                <w:rFonts w:hint="default" w:ascii="Times New Roman" w:hAnsi="Times New Roman" w:eastAsia="国标宋体" w:cs="Times New Roman"/>
                <w:snapToGrid w:val="0"/>
                <w:color w:val="auto"/>
                <w:szCs w:val="21"/>
              </w:rPr>
            </w:pPr>
            <w:r>
              <w:rPr>
                <w:rFonts w:hint="eastAsia" w:eastAsia="国标宋体" w:cs="Times New Roman"/>
                <w:snapToGrid w:val="0"/>
                <w:color w:val="auto"/>
                <w:spacing w:val="6"/>
                <w:szCs w:val="24"/>
                <w:lang w:eastAsia="zh-CN"/>
              </w:rPr>
              <w:t>见证资料</w:t>
            </w:r>
            <w:r>
              <w:rPr>
                <w:rFonts w:hint="default" w:ascii="Times New Roman" w:hAnsi="Times New Roman" w:eastAsia="国标宋体" w:cs="Times New Roman"/>
                <w:snapToGrid w:val="0"/>
                <w:color w:val="auto"/>
                <w:spacing w:val="6"/>
                <w:szCs w:val="24"/>
              </w:rPr>
              <w:t>：</w:t>
            </w:r>
          </w:p>
        </w:tc>
      </w:tr>
    </w:tbl>
    <w:p w14:paraId="0679F0DC">
      <w:pPr>
        <w:rPr>
          <w:rFonts w:hint="default" w:ascii="Times New Roman" w:hAnsi="Times New Roman" w:eastAsia="国标宋体" w:cs="Times New Roman"/>
          <w:color w:val="auto"/>
          <w:sz w:val="28"/>
          <w:szCs w:val="21"/>
        </w:rPr>
      </w:pPr>
    </w:p>
    <w:p w14:paraId="6E02DA45">
      <w:pPr>
        <w:spacing w:line="94" w:lineRule="exact"/>
        <w:rPr>
          <w:rFonts w:hint="default" w:ascii="Times New Roman" w:hAnsi="Times New Roman" w:eastAsia="国标宋体" w:cs="Times New Roman"/>
          <w:color w:val="auto"/>
          <w:sz w:val="28"/>
          <w:szCs w:val="21"/>
        </w:rPr>
      </w:pPr>
    </w:p>
    <w:p w14:paraId="5BD18634">
      <w:pPr>
        <w:rPr>
          <w:rFonts w:hint="default" w:ascii="Times New Roman" w:hAnsi="Times New Roman" w:eastAsia="国标宋体" w:cs="Times New Roman"/>
          <w:color w:val="auto"/>
          <w:sz w:val="28"/>
          <w:szCs w:val="21"/>
        </w:rPr>
      </w:pPr>
    </w:p>
    <w:p w14:paraId="39DBF93F">
      <w:pPr>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191C4030">
      <w:pPr>
        <w:rPr>
          <w:rFonts w:hint="default" w:ascii="Times New Roman" w:hAnsi="Times New Roman" w:eastAsia="国标宋体" w:cs="Times New Roman"/>
          <w:color w:val="auto"/>
        </w:rPr>
      </w:pPr>
      <w:bookmarkStart w:id="127" w:name="_Toc22114"/>
      <w:bookmarkStart w:id="128" w:name="_Toc6173"/>
      <w:bookmarkStart w:id="129" w:name="_Toc24382"/>
      <w:bookmarkStart w:id="130" w:name="_Toc14266"/>
      <w:bookmarkStart w:id="131" w:name="_Toc29512"/>
    </w:p>
    <w:p w14:paraId="7EE975F9">
      <w:pPr>
        <w:pStyle w:val="2"/>
        <w:spacing w:line="360" w:lineRule="auto"/>
        <w:jc w:val="center"/>
        <w:rPr>
          <w:rFonts w:hint="default" w:ascii="Times New Roman" w:hAnsi="Times New Roman" w:eastAsia="国标宋体" w:cs="Times New Roman"/>
          <w:b w:val="0"/>
          <w:bCs/>
          <w:color w:val="auto"/>
          <w:sz w:val="32"/>
          <w:szCs w:val="32"/>
        </w:rPr>
      </w:pPr>
      <w:bookmarkStart w:id="132" w:name="_Toc1202870918"/>
      <w:bookmarkStart w:id="133" w:name="_Toc2138539068"/>
      <w:bookmarkStart w:id="134" w:name="_Toc1038397227"/>
      <w:bookmarkStart w:id="135" w:name="_Toc766991228"/>
      <w:r>
        <w:rPr>
          <w:rFonts w:hint="default" w:ascii="Times New Roman" w:hAnsi="Times New Roman" w:eastAsia="国标宋体" w:cs="Times New Roman"/>
          <w:b w:val="0"/>
          <w:bCs/>
          <w:color w:val="auto"/>
          <w:sz w:val="32"/>
          <w:szCs w:val="32"/>
        </w:rPr>
        <w:t>附录E  整改报告编制要求</w:t>
      </w:r>
      <w:bookmarkEnd w:id="127"/>
      <w:bookmarkEnd w:id="128"/>
      <w:bookmarkEnd w:id="129"/>
      <w:bookmarkEnd w:id="130"/>
      <w:bookmarkEnd w:id="131"/>
      <w:bookmarkEnd w:id="132"/>
      <w:bookmarkEnd w:id="133"/>
      <w:bookmarkEnd w:id="134"/>
      <w:bookmarkEnd w:id="135"/>
    </w:p>
    <w:p w14:paraId="0617D57F">
      <w:pPr>
        <w:spacing w:line="405" w:lineRule="auto"/>
        <w:rPr>
          <w:rFonts w:hint="default" w:ascii="Times New Roman" w:hAnsi="Times New Roman" w:eastAsia="国标宋体" w:cs="Times New Roman"/>
          <w:color w:val="auto"/>
          <w:sz w:val="28"/>
          <w:szCs w:val="21"/>
        </w:rPr>
      </w:pPr>
    </w:p>
    <w:p w14:paraId="1AEE792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现场鉴定评审结束后，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应当依据《</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》规定期限，按照《整改报告格式》要求在规定的期限内完成整改工作。</w:t>
      </w:r>
    </w:p>
    <w:p w14:paraId="6B5484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E1 总体要求</w:t>
      </w:r>
    </w:p>
    <w:p w14:paraId="25324C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提交的整改报告应按照</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提供的《整改报告格式》编制。</w:t>
      </w:r>
    </w:p>
    <w:p w14:paraId="321CDA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整改资料应按：《特种设备检验机构核准鉴定评审整改报告》封面、目录、《</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》（复印件）、《关于***核准鉴定评审的整改报告》正文、附件1、附件2……的顺序</w:t>
      </w:r>
      <w:r>
        <w:rPr>
          <w:rFonts w:hint="default" w:ascii="Times New Roman" w:hAnsi="Times New Roman" w:eastAsia="国标宋体" w:cs="Times New Roman"/>
          <w:color w:val="auto"/>
          <w:spacing w:val="16"/>
          <w:sz w:val="28"/>
          <w:szCs w:val="28"/>
          <w:lang w:val="en-US" w:eastAsia="zh-CN"/>
        </w:rPr>
        <w:t>整理成册（不用装订）</w:t>
      </w:r>
      <w:r>
        <w:rPr>
          <w:rFonts w:hint="default" w:ascii="Times New Roman" w:hAnsi="Times New Roman" w:eastAsia="国标宋体" w:cs="Times New Roman"/>
          <w:color w:val="auto"/>
          <w:spacing w:val="16"/>
          <w:sz w:val="28"/>
          <w:szCs w:val="28"/>
        </w:rPr>
        <w:t>。</w:t>
      </w:r>
    </w:p>
    <w:p w14:paraId="1243637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《特种设备检验机构核准鉴定评审整改报告》封面、目录、正文应采用计算机输入后打印；</w:t>
      </w:r>
    </w:p>
    <w:p w14:paraId="49151BB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材料应用 A4 纸打印或复印；</w:t>
      </w:r>
    </w:p>
    <w:p w14:paraId="6022C9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一式</w:t>
      </w:r>
      <w:r>
        <w:rPr>
          <w:rFonts w:hint="default" w:ascii="Times New Roman" w:hAnsi="Times New Roman" w:eastAsia="国标宋体" w:cs="Times New Roman"/>
          <w:color w:val="auto"/>
          <w:spacing w:val="16"/>
          <w:sz w:val="28"/>
          <w:szCs w:val="28"/>
          <w:lang w:val="en-US" w:eastAsia="zh-CN"/>
        </w:rPr>
        <w:t>一</w:t>
      </w:r>
      <w:r>
        <w:rPr>
          <w:rFonts w:hint="default" w:ascii="Times New Roman" w:hAnsi="Times New Roman" w:eastAsia="国标宋体" w:cs="Times New Roman"/>
          <w:color w:val="auto"/>
          <w:spacing w:val="16"/>
          <w:sz w:val="28"/>
          <w:szCs w:val="28"/>
        </w:rPr>
        <w:t>份</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val="en-US" w:eastAsia="zh-CN"/>
        </w:rPr>
        <w:t>逐页加盖鲜章</w:t>
      </w:r>
      <w:r>
        <w:rPr>
          <w:rFonts w:hint="default" w:ascii="Times New Roman" w:hAnsi="Times New Roman" w:eastAsia="国标宋体" w:cs="Times New Roman"/>
          <w:color w:val="auto"/>
          <w:spacing w:val="16"/>
          <w:sz w:val="28"/>
          <w:szCs w:val="28"/>
        </w:rPr>
        <w:t>。</w:t>
      </w:r>
    </w:p>
    <w:p w14:paraId="402429A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E2 《特种设备检验机构核准鉴定评审整改报告》封面的填写</w:t>
      </w:r>
    </w:p>
    <w:p w14:paraId="4DF36BC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a. </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名称：填写检验机构公章上的单位名称。</w:t>
      </w:r>
    </w:p>
    <w:p w14:paraId="5E2910F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机构类型：根据申请填写</w:t>
      </w:r>
      <w:r>
        <w:rPr>
          <w:rFonts w:hint="default" w:ascii="Times New Roman" w:hAnsi="Times New Roman" w:eastAsia="国标宋体" w:cs="Times New Roman"/>
          <w:color w:val="auto"/>
          <w:spacing w:val="16"/>
          <w:kern w:val="0"/>
          <w:sz w:val="28"/>
          <w:szCs w:val="28"/>
          <w:lang w:val="en-US" w:eastAsia="zh-CN"/>
        </w:rPr>
        <w:t>，如甲类B1级</w:t>
      </w:r>
      <w:r>
        <w:rPr>
          <w:rFonts w:hint="default" w:ascii="Times New Roman" w:hAnsi="Times New Roman" w:eastAsia="国标宋体" w:cs="Times New Roman"/>
          <w:color w:val="auto"/>
          <w:spacing w:val="16"/>
          <w:sz w:val="28"/>
          <w:szCs w:val="28"/>
        </w:rPr>
        <w:t>。</w:t>
      </w:r>
    </w:p>
    <w:p w14:paraId="0BC492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 xml:space="preserve">c. </w:t>
      </w:r>
      <w:r>
        <w:rPr>
          <w:rFonts w:hint="default" w:ascii="Times New Roman" w:hAnsi="Times New Roman" w:eastAsia="国标宋体" w:cs="Times New Roman"/>
          <w:color w:val="auto"/>
          <w:spacing w:val="16"/>
          <w:sz w:val="28"/>
          <w:szCs w:val="28"/>
          <w:lang w:eastAsia="zh-CN"/>
        </w:rPr>
        <w:t>核准类别：勾选“首次”、“延续”、“增项”、“变更”</w:t>
      </w:r>
      <w:r>
        <w:rPr>
          <w:rFonts w:hint="default" w:ascii="Times New Roman" w:hAnsi="Times New Roman" w:eastAsia="国标宋体" w:cs="Times New Roman"/>
          <w:color w:val="auto"/>
          <w:spacing w:val="16"/>
          <w:sz w:val="28"/>
          <w:szCs w:val="28"/>
        </w:rPr>
        <w:t>。</w:t>
      </w:r>
    </w:p>
    <w:p w14:paraId="0378325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E3 《特种设备检验机构核准鉴定评审整改报告》目录的填写</w:t>
      </w:r>
    </w:p>
    <w:p w14:paraId="29D0997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“目录”按鉴定评审机构提供的格式如实填写，并注明每个附件的页数。</w:t>
      </w:r>
    </w:p>
    <w:p w14:paraId="237A78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E4 《特种设备检验机构核准鉴定评审整改报告》正文的编制</w:t>
      </w:r>
    </w:p>
    <w:p w14:paraId="5914084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正文的前半部分，按鉴定评审机构提供的格式，进行替换即可。</w:t>
      </w:r>
    </w:p>
    <w:p w14:paraId="4A16B24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“存在的不符合项”栏：填写《</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》中对应项的内容，不允许修改，并按其顺序逐一填写。</w:t>
      </w:r>
    </w:p>
    <w:p w14:paraId="207393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“整改情况（详细描述）”栏：填写不符合项的整改情况，描述应简要准确。</w:t>
      </w:r>
    </w:p>
    <w:p w14:paraId="2C8E70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（注明页数）”栏：填写</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所在的附件序号（含附件的页数），如“附件 1（共 10 页）”。</w:t>
      </w:r>
    </w:p>
    <w:p w14:paraId="2F081AD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表中所列出的“行”不足时自行添加行，所列出的“行”过多时，自行删除，不允许出现空行。</w:t>
      </w:r>
    </w:p>
    <w:p w14:paraId="04DEABD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 “其他说明”，如果有其他情况需要说明，请在此说明。</w:t>
      </w:r>
    </w:p>
    <w:p w14:paraId="3D6BDC2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E5 附件的编制</w:t>
      </w:r>
    </w:p>
    <w:p w14:paraId="43DC08D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bookmarkStart w:id="136" w:name="_bookmark11"/>
      <w:bookmarkEnd w:id="136"/>
      <w:r>
        <w:rPr>
          <w:rFonts w:hint="default" w:ascii="Times New Roman" w:hAnsi="Times New Roman" w:eastAsia="国标宋体" w:cs="Times New Roman"/>
          <w:color w:val="auto"/>
          <w:spacing w:val="16"/>
          <w:sz w:val="28"/>
          <w:szCs w:val="28"/>
        </w:rPr>
        <w:t>a. 每一个“不符合项”对应一个附件，按照《</w:t>
      </w:r>
      <w:r>
        <w:rPr>
          <w:rFonts w:hint="eastAsia" w:ascii="Times New Roman" w:hAnsi="Times New Roman" w:eastAsia="国标宋体" w:cs="Times New Roman"/>
          <w:color w:val="auto"/>
          <w:spacing w:val="16"/>
          <w:sz w:val="28"/>
          <w:szCs w:val="28"/>
          <w:lang w:val="en-US" w:eastAsia="zh-CN"/>
        </w:rPr>
        <w:t>特种设备检验机构核准鉴定评审工作备忘录</w:t>
      </w:r>
      <w:r>
        <w:rPr>
          <w:rFonts w:hint="default" w:ascii="Times New Roman" w:hAnsi="Times New Roman" w:eastAsia="国标宋体" w:cs="Times New Roman"/>
          <w:color w:val="auto"/>
          <w:spacing w:val="16"/>
          <w:sz w:val="28"/>
          <w:szCs w:val="28"/>
        </w:rPr>
        <w:t>》中的不符合项目的顺序逐一</w:t>
      </w:r>
      <w:r>
        <w:rPr>
          <w:rFonts w:hint="default" w:ascii="Times New Roman" w:hAnsi="Times New Roman" w:eastAsia="国标宋体" w:cs="Times New Roman"/>
          <w:color w:val="auto"/>
          <w:spacing w:val="16"/>
          <w:sz w:val="28"/>
          <w:szCs w:val="28"/>
          <w:lang w:eastAsia="zh-CN"/>
        </w:rPr>
        <w:t>编号</w:t>
      </w:r>
      <w:r>
        <w:rPr>
          <w:rFonts w:hint="default" w:ascii="Times New Roman" w:hAnsi="Times New Roman" w:eastAsia="国标宋体" w:cs="Times New Roman"/>
          <w:color w:val="auto"/>
          <w:spacing w:val="16"/>
          <w:sz w:val="28"/>
          <w:szCs w:val="28"/>
        </w:rPr>
        <w:t>。</w:t>
      </w:r>
    </w:p>
    <w:p w14:paraId="7EAB0E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每个附件的第一页应是《特种设备检验机构核准鉴定评审不符合项目分析整改表》，</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应在此表说明不符合项，采取的纠正或纠正措施，提供的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等。</w:t>
      </w:r>
    </w:p>
    <w:p w14:paraId="35F43E5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《特种设备检验机构核准鉴定评审不符合项目分析整改表》后附：针对该“不符合项目”整改的见证资料。</w:t>
      </w:r>
    </w:p>
    <w:p w14:paraId="13C37161">
      <w:pPr>
        <w:adjustRightInd w:val="0"/>
        <w:snapToGrid w:val="0"/>
        <w:spacing w:line="360" w:lineRule="auto"/>
        <w:ind w:firstLine="624" w:firstLineChars="200"/>
        <w:rPr>
          <w:rFonts w:hint="eastAsia" w:ascii="Times New Roman" w:hAnsi="Times New Roman" w:eastAsia="国标宋体" w:cs="Times New Roman"/>
          <w:color w:val="auto"/>
          <w:spacing w:val="16"/>
          <w:sz w:val="28"/>
          <w:szCs w:val="28"/>
          <w:lang w:eastAsia="zh-CN"/>
        </w:rPr>
      </w:pPr>
      <w:r>
        <w:rPr>
          <w:rFonts w:hint="default" w:ascii="Times New Roman" w:hAnsi="Times New Roman" w:eastAsia="国标宋体" w:cs="Times New Roman"/>
          <w:color w:val="auto"/>
          <w:spacing w:val="16"/>
          <w:sz w:val="28"/>
          <w:szCs w:val="28"/>
        </w:rPr>
        <w:t>E6 不符合整改</w:t>
      </w:r>
      <w:r>
        <w:rPr>
          <w:rFonts w:hint="eastAsia" w:eastAsia="国标宋体" w:cs="Times New Roman"/>
          <w:color w:val="auto"/>
          <w:spacing w:val="16"/>
          <w:sz w:val="28"/>
          <w:szCs w:val="28"/>
          <w:lang w:eastAsia="zh-CN"/>
        </w:rPr>
        <w:t>见证资料</w:t>
      </w:r>
    </w:p>
    <w:p w14:paraId="19D95AC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E6.1 缺少人员等方面的不符合，应提供如下资料：</w:t>
      </w:r>
    </w:p>
    <w:p w14:paraId="3AAE4F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的聘用合同。</w:t>
      </w:r>
    </w:p>
    <w:p w14:paraId="6F24080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人员</w:t>
      </w:r>
      <w:r>
        <w:rPr>
          <w:rFonts w:hint="default" w:ascii="Times New Roman" w:hAnsi="Times New Roman" w:eastAsia="国标宋体" w:cs="Times New Roman"/>
          <w:color w:val="auto"/>
          <w:spacing w:val="16"/>
          <w:sz w:val="28"/>
          <w:szCs w:val="28"/>
        </w:rPr>
        <w:t>的资格证书。</w:t>
      </w:r>
    </w:p>
    <w:p w14:paraId="4F051A5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特种设备</w:t>
      </w:r>
      <w:r>
        <w:rPr>
          <w:rFonts w:hint="default" w:ascii="Times New Roman" w:hAnsi="Times New Roman" w:eastAsia="国标宋体" w:cs="Times New Roman"/>
          <w:color w:val="auto"/>
          <w:spacing w:val="16"/>
          <w:sz w:val="28"/>
          <w:szCs w:val="28"/>
        </w:rPr>
        <w:t>检验检测人员执业注册证书或网上注册结果公示资料。</w:t>
      </w:r>
    </w:p>
    <w:p w14:paraId="61C69A6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社会保险</w:t>
      </w:r>
      <w:r>
        <w:rPr>
          <w:rFonts w:hint="default" w:ascii="Times New Roman" w:hAnsi="Times New Roman" w:eastAsia="国标宋体" w:cs="Times New Roman"/>
          <w:color w:val="auto"/>
          <w:spacing w:val="16"/>
          <w:sz w:val="28"/>
          <w:szCs w:val="28"/>
        </w:rPr>
        <w:t>缴纳证明。</w:t>
      </w:r>
    </w:p>
    <w:p w14:paraId="0C57AC6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2</w:t>
      </w:r>
      <w:r>
        <w:rPr>
          <w:rFonts w:hint="default" w:ascii="Times New Roman" w:hAnsi="Times New Roman" w:eastAsia="国标宋体" w:cs="Times New Roman"/>
          <w:color w:val="auto"/>
          <w:spacing w:val="16"/>
          <w:sz w:val="28"/>
          <w:szCs w:val="28"/>
        </w:rPr>
        <w:t xml:space="preserve"> 缺少设备方面不符合</w:t>
      </w:r>
      <w:r>
        <w:rPr>
          <w:rFonts w:hint="default" w:ascii="Times New Roman" w:hAnsi="Times New Roman"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应提供如下资料：</w:t>
      </w:r>
    </w:p>
    <w:p w14:paraId="24FD99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w:t>
      </w:r>
      <w:r>
        <w:rPr>
          <w:rFonts w:hint="default" w:ascii="Times New Roman" w:hAnsi="Times New Roman" w:eastAsia="国标宋体" w:cs="Times New Roman"/>
          <w:color w:val="auto"/>
          <w:spacing w:val="16"/>
          <w:sz w:val="28"/>
          <w:szCs w:val="28"/>
          <w:lang w:eastAsia="zh-CN"/>
        </w:rPr>
        <w:t xml:space="preserve"> 购置</w:t>
      </w:r>
      <w:r>
        <w:rPr>
          <w:rFonts w:hint="default" w:ascii="Times New Roman" w:hAnsi="Times New Roman" w:eastAsia="国标宋体" w:cs="Times New Roman"/>
          <w:color w:val="auto"/>
          <w:spacing w:val="16"/>
          <w:sz w:val="28"/>
          <w:szCs w:val="28"/>
        </w:rPr>
        <w:t>发票及购置清单和银行汇款的证明材料（复印件加盖单位公章）。</w:t>
      </w:r>
    </w:p>
    <w:p w14:paraId="3CD221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w:t>
      </w:r>
      <w:r>
        <w:rPr>
          <w:rFonts w:hint="default" w:ascii="Times New Roman" w:hAnsi="Times New Roman" w:eastAsia="国标宋体" w:cs="Times New Roman"/>
          <w:color w:val="auto"/>
          <w:spacing w:val="16"/>
          <w:sz w:val="28"/>
          <w:szCs w:val="28"/>
          <w:lang w:eastAsia="zh-CN"/>
        </w:rPr>
        <w:t xml:space="preserve"> 如果</w:t>
      </w:r>
      <w:r>
        <w:rPr>
          <w:rFonts w:hint="default" w:ascii="Times New Roman" w:hAnsi="Times New Roman" w:eastAsia="国标宋体" w:cs="Times New Roman"/>
          <w:color w:val="auto"/>
          <w:spacing w:val="16"/>
          <w:sz w:val="28"/>
          <w:szCs w:val="28"/>
        </w:rPr>
        <w:t>分期付款，还没有最终开出发票的，应提供：购置合同、历次银行汇款的证明资料（复印件加盖单位公章）。</w:t>
      </w:r>
    </w:p>
    <w:p w14:paraId="6E9B2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w:t>
      </w:r>
      <w:r>
        <w:rPr>
          <w:rFonts w:hint="default" w:ascii="Times New Roman" w:hAnsi="Times New Roman" w:eastAsia="国标宋体" w:cs="Times New Roman"/>
          <w:color w:val="auto"/>
          <w:spacing w:val="16"/>
          <w:sz w:val="28"/>
          <w:szCs w:val="28"/>
          <w:lang w:eastAsia="zh-CN"/>
        </w:rPr>
        <w:t xml:space="preserve"> 仪器设备</w:t>
      </w:r>
      <w:r>
        <w:rPr>
          <w:rFonts w:hint="default" w:ascii="Times New Roman" w:hAnsi="Times New Roman" w:eastAsia="国标宋体" w:cs="Times New Roman"/>
          <w:color w:val="auto"/>
          <w:spacing w:val="16"/>
          <w:sz w:val="28"/>
          <w:szCs w:val="28"/>
        </w:rPr>
        <w:t>验收记录、检定或校准证书。</w:t>
      </w:r>
    </w:p>
    <w:p w14:paraId="7D63981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w:t>
      </w:r>
      <w:r>
        <w:rPr>
          <w:rFonts w:hint="default" w:ascii="Times New Roman" w:hAnsi="Times New Roman" w:eastAsia="国标宋体" w:cs="Times New Roman"/>
          <w:color w:val="auto"/>
          <w:spacing w:val="16"/>
          <w:sz w:val="28"/>
          <w:szCs w:val="28"/>
          <w:lang w:eastAsia="zh-CN"/>
        </w:rPr>
        <w:t xml:space="preserve"> 实物</w:t>
      </w:r>
      <w:r>
        <w:rPr>
          <w:rFonts w:hint="default" w:ascii="Times New Roman" w:hAnsi="Times New Roman" w:eastAsia="国标宋体" w:cs="Times New Roman"/>
          <w:color w:val="auto"/>
          <w:spacing w:val="16"/>
          <w:sz w:val="28"/>
          <w:szCs w:val="28"/>
        </w:rPr>
        <w:t>照片等。</w:t>
      </w:r>
    </w:p>
    <w:p w14:paraId="4A672AE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 xml:space="preserve"> 质量管理体系文件（包括质量手册、程序文件、管理制度、作业指导书、记录表格）方面的不符合：</w:t>
      </w:r>
    </w:p>
    <w:p w14:paraId="58D8E96F">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.1 新编制的质量管理体系文件（原先没有，需要新编制的），应提供如下资料：</w:t>
      </w:r>
    </w:p>
    <w:p w14:paraId="582432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4441E82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5C8E2C5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27BBB7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新编制的文件的正文（只提供新编制的部分，不需提供全部的体系文件</w:t>
      </w:r>
      <w:r>
        <w:rPr>
          <w:rFonts w:hint="default" w:ascii="Times New Roman" w:hAnsi="Times New Roman" w:eastAsia="国标宋体" w:cs="Times New Roman"/>
          <w:color w:val="auto"/>
          <w:spacing w:val="16"/>
          <w:sz w:val="28"/>
          <w:szCs w:val="28"/>
          <w:lang w:eastAsia="zh-CN"/>
        </w:rPr>
        <w:t>）。</w:t>
      </w:r>
    </w:p>
    <w:p w14:paraId="4EF5A42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3</w:t>
      </w:r>
      <w:r>
        <w:rPr>
          <w:rFonts w:hint="default" w:ascii="Times New Roman" w:hAnsi="Times New Roman" w:eastAsia="国标宋体" w:cs="Times New Roman"/>
          <w:color w:val="auto"/>
          <w:spacing w:val="16"/>
          <w:sz w:val="28"/>
          <w:szCs w:val="28"/>
        </w:rPr>
        <w:t>.2 修订的质量管理体系文件（原先有，需要修订的），应提供如下资料：</w:t>
      </w:r>
    </w:p>
    <w:p w14:paraId="77025BD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文件编制、修改审批表或评审表（相关人员应签名）。</w:t>
      </w:r>
    </w:p>
    <w:p w14:paraId="34FD8581">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文件编制、审核、批准审批表。</w:t>
      </w:r>
    </w:p>
    <w:p w14:paraId="3D07261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文件正式颁布实施的见证。</w:t>
      </w:r>
    </w:p>
    <w:p w14:paraId="3F4408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d. 修订之前的质量管理体系文件正文（只提供需要修订部分，修订部分应用显著标识标注清楚，不需提供全部的质量管理体系文件，并注明“修订前”）。</w:t>
      </w:r>
    </w:p>
    <w:p w14:paraId="3762A9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 修订后的质量管理体系文件的正文（只提供新修订的部分，修订部分应用显著标识标注清楚，不需提供全部的质量管理体系文件，并注明“修订后”）。</w:t>
      </w:r>
    </w:p>
    <w:p w14:paraId="08E0F54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4</w:t>
      </w:r>
      <w:r>
        <w:rPr>
          <w:rFonts w:hint="default" w:ascii="Times New Roman" w:hAnsi="Times New Roman" w:eastAsia="国标宋体" w:cs="Times New Roman"/>
          <w:color w:val="auto"/>
          <w:spacing w:val="16"/>
          <w:sz w:val="28"/>
          <w:szCs w:val="28"/>
        </w:rPr>
        <w:t xml:space="preserve"> 质量管理体系实施的不符合，应提供如下资料：</w:t>
      </w:r>
    </w:p>
    <w:p w14:paraId="47869F78">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0156BB5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03DA41D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73C65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E6.</w:t>
      </w:r>
      <w:r>
        <w:rPr>
          <w:rFonts w:hint="default" w:ascii="Times New Roman" w:hAnsi="Times New Roman" w:eastAsia="国标宋体" w:cs="Times New Roman"/>
          <w:color w:val="auto"/>
          <w:spacing w:val="16"/>
          <w:sz w:val="28"/>
          <w:szCs w:val="28"/>
          <w:lang w:val="en-US" w:eastAsia="zh-CN"/>
        </w:rPr>
        <w:t xml:space="preserve">5 </w:t>
      </w:r>
      <w:r>
        <w:rPr>
          <w:rFonts w:hint="default" w:ascii="Times New Roman" w:hAnsi="Times New Roman" w:eastAsia="国标宋体" w:cs="Times New Roman"/>
          <w:color w:val="auto"/>
          <w:spacing w:val="16"/>
          <w:sz w:val="28"/>
          <w:szCs w:val="28"/>
          <w:lang w:eastAsia="zh-CN"/>
        </w:rPr>
        <w:t>检验能力</w:t>
      </w:r>
      <w:r>
        <w:rPr>
          <w:rFonts w:hint="default" w:ascii="Times New Roman" w:hAnsi="Times New Roman" w:eastAsia="国标宋体" w:cs="Times New Roman"/>
          <w:color w:val="auto"/>
          <w:spacing w:val="16"/>
          <w:sz w:val="28"/>
          <w:szCs w:val="28"/>
        </w:rPr>
        <w:t>不符合，应提供如下资料：</w:t>
      </w:r>
    </w:p>
    <w:p w14:paraId="23C94C3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a. 针对该项不符合，“不符合控制程序”和“纠正措施控制程序”执行情况的见证资料。</w:t>
      </w:r>
    </w:p>
    <w:p w14:paraId="29B11415">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b. 相关人员培训见证（如需对相关人员进行培训）。</w:t>
      </w:r>
    </w:p>
    <w:p w14:paraId="1F48FD40">
      <w:pPr>
        <w:adjustRightInd w:val="0"/>
        <w:snapToGrid w:val="0"/>
        <w:spacing w:line="360" w:lineRule="auto"/>
        <w:ind w:firstLine="624" w:firstLineChars="200"/>
        <w:rPr>
          <w:rFonts w:hint="default" w:ascii="Times New Roman" w:hAnsi="Times New Roman" w:eastAsia="国标宋体" w:cs="Times New Roman"/>
          <w:color w:val="auto"/>
          <w:spacing w:val="16"/>
          <w:sz w:val="21"/>
          <w:szCs w:val="21"/>
        </w:rPr>
      </w:pPr>
      <w:r>
        <w:rPr>
          <w:rFonts w:hint="default" w:ascii="Times New Roman" w:hAnsi="Times New Roman" w:eastAsia="国标宋体" w:cs="Times New Roman"/>
          <w:color w:val="auto"/>
          <w:spacing w:val="16"/>
          <w:sz w:val="28"/>
          <w:szCs w:val="28"/>
        </w:rPr>
        <w:t>c. 纠正和纠正措施实施后的</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5B1AF6F8">
      <w:pPr>
        <w:spacing w:line="360" w:lineRule="auto"/>
        <w:rPr>
          <w:rFonts w:hint="default" w:ascii="Times New Roman" w:hAnsi="Times New Roman" w:eastAsia="国标宋体" w:cs="Times New Roman"/>
          <w:color w:val="auto"/>
          <w:sz w:val="28"/>
          <w:szCs w:val="21"/>
        </w:rPr>
      </w:pPr>
    </w:p>
    <w:p w14:paraId="216A0B6A">
      <w:pPr>
        <w:spacing w:line="240" w:lineRule="auto"/>
        <w:rPr>
          <w:rFonts w:hint="default" w:ascii="Times New Roman" w:hAnsi="Times New Roman" w:eastAsia="国标宋体" w:cs="Times New Roman"/>
          <w:color w:val="auto"/>
          <w:sz w:val="28"/>
          <w:szCs w:val="21"/>
        </w:rPr>
      </w:pPr>
      <w:r>
        <w:rPr>
          <w:rFonts w:hint="default" w:ascii="Times New Roman" w:hAnsi="Times New Roman" w:eastAsia="国标宋体" w:cs="Times New Roman"/>
          <w:color w:val="auto"/>
          <w:sz w:val="28"/>
          <w:szCs w:val="21"/>
        </w:rPr>
        <w:br w:type="page"/>
      </w:r>
    </w:p>
    <w:p w14:paraId="7DF48A57">
      <w:pPr>
        <w:pStyle w:val="2"/>
        <w:spacing w:line="360" w:lineRule="auto"/>
        <w:jc w:val="center"/>
        <w:rPr>
          <w:rFonts w:hint="default" w:ascii="Times New Roman" w:hAnsi="Times New Roman" w:eastAsia="国标宋体" w:cs="Times New Roman"/>
          <w:b w:val="0"/>
          <w:bCs/>
          <w:color w:val="auto"/>
          <w:sz w:val="32"/>
          <w:szCs w:val="32"/>
        </w:rPr>
      </w:pPr>
      <w:bookmarkStart w:id="137" w:name="_Toc1769274871"/>
      <w:bookmarkStart w:id="138" w:name="_Toc2039652944"/>
      <w:bookmarkStart w:id="139" w:name="_Toc659559646"/>
      <w:bookmarkStart w:id="140" w:name="_Toc54602248"/>
      <w:r>
        <w:rPr>
          <w:rFonts w:hint="default" w:ascii="Times New Roman" w:hAnsi="Times New Roman" w:eastAsia="国标宋体" w:cs="Times New Roman"/>
          <w:b w:val="0"/>
          <w:bCs/>
          <w:color w:val="auto"/>
          <w:sz w:val="32"/>
          <w:szCs w:val="32"/>
        </w:rPr>
        <w:t>附录F  不符合整改现场确认程序</w:t>
      </w:r>
      <w:bookmarkEnd w:id="137"/>
      <w:bookmarkEnd w:id="138"/>
      <w:bookmarkEnd w:id="139"/>
      <w:bookmarkEnd w:id="140"/>
    </w:p>
    <w:p w14:paraId="28B124F9">
      <w:pPr>
        <w:spacing w:line="263" w:lineRule="auto"/>
        <w:rPr>
          <w:rFonts w:hint="default" w:ascii="Times New Roman" w:hAnsi="Times New Roman" w:eastAsia="国标宋体" w:cs="Times New Roman"/>
          <w:color w:val="auto"/>
          <w:sz w:val="28"/>
          <w:szCs w:val="21"/>
        </w:rPr>
      </w:pPr>
    </w:p>
    <w:p w14:paraId="7DDECDA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F1 适用范围</w:t>
      </w:r>
    </w:p>
    <w:p w14:paraId="59C1C80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适用于不符合项目整改的现场确认。</w:t>
      </w:r>
    </w:p>
    <w:p w14:paraId="3D862B8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F2 约请</w:t>
      </w:r>
    </w:p>
    <w:p w14:paraId="2C4F17E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完成不符合项目的整改后，应当向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提交如下约请资料：</w:t>
      </w:r>
    </w:p>
    <w:p w14:paraId="71DD991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不符合项目的整改</w:t>
      </w:r>
      <w:r>
        <w:rPr>
          <w:rFonts w:hint="eastAsia" w:eastAsia="国标宋体" w:cs="Times New Roman"/>
          <w:color w:val="auto"/>
          <w:spacing w:val="16"/>
          <w:sz w:val="28"/>
          <w:szCs w:val="28"/>
          <w:lang w:eastAsia="zh-CN"/>
        </w:rPr>
        <w:t>见证资料</w:t>
      </w:r>
      <w:r>
        <w:rPr>
          <w:rFonts w:hint="default" w:ascii="Times New Roman" w:hAnsi="Times New Roman" w:eastAsia="国标宋体" w:cs="Times New Roman"/>
          <w:color w:val="auto"/>
          <w:spacing w:val="16"/>
          <w:sz w:val="28"/>
          <w:szCs w:val="28"/>
        </w:rPr>
        <w:t>。</w:t>
      </w:r>
    </w:p>
    <w:p w14:paraId="1C8BC1C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F3 协商现场确认计划</w:t>
      </w:r>
    </w:p>
    <w:p w14:paraId="0585A84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接到</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的约请后，与</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协商现场评审计划。</w:t>
      </w:r>
    </w:p>
    <w:p w14:paraId="762DBEF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现场评审组一般由 2</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3 名人员组成。</w:t>
      </w:r>
    </w:p>
    <w:p w14:paraId="5184D8DC">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现场评审时间一般为 1</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2 天。</w:t>
      </w:r>
    </w:p>
    <w:p w14:paraId="5A54BED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F4 发送现场确认通知函</w:t>
      </w:r>
    </w:p>
    <w:p w14:paraId="2BF0702B">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根据协商确认的现场确认时间，</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提前 5 个工作日向</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发出《</w:t>
      </w:r>
      <w:r>
        <w:rPr>
          <w:rFonts w:hint="default" w:ascii="Times New Roman" w:hAnsi="Times New Roman" w:eastAsia="国标宋体" w:cs="Times New Roman"/>
          <w:color w:val="auto"/>
          <w:spacing w:val="16"/>
          <w:sz w:val="28"/>
          <w:szCs w:val="28"/>
          <w:lang w:eastAsia="zh-CN"/>
        </w:rPr>
        <w:t>特种设备检验机构核准鉴定评审通知函</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（现场确认）》。</w:t>
      </w:r>
    </w:p>
    <w:p w14:paraId="6181681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F5 接收评审通知函</w:t>
      </w:r>
    </w:p>
    <w:p w14:paraId="74C7DFD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接到通知函后，应当及时与评审组联系，以确定评审组的行程及工作安排。</w:t>
      </w:r>
    </w:p>
    <w:p w14:paraId="090586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如果对评审人员有异议时，可以在现场评审的 3 个工作日前，向</w:t>
      </w:r>
      <w:r>
        <w:rPr>
          <w:rFonts w:hint="default" w:ascii="Times New Roman" w:hAnsi="Times New Roman" w:eastAsia="国标宋体" w:cs="Times New Roman"/>
          <w:color w:val="auto"/>
          <w:spacing w:val="16"/>
          <w:sz w:val="28"/>
          <w:szCs w:val="28"/>
          <w:lang w:eastAsia="zh-CN"/>
        </w:rPr>
        <w:t>省质量审评中心</w:t>
      </w:r>
      <w:r>
        <w:rPr>
          <w:rFonts w:hint="default" w:ascii="Times New Roman" w:hAnsi="Times New Roman" w:eastAsia="国标宋体" w:cs="Times New Roman"/>
          <w:color w:val="auto"/>
          <w:spacing w:val="16"/>
          <w:sz w:val="28"/>
          <w:szCs w:val="28"/>
        </w:rPr>
        <w:t>提交书面意见。</w:t>
      </w:r>
    </w:p>
    <w:p w14:paraId="2C1284F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F6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预备会议</w:t>
      </w:r>
    </w:p>
    <w:p w14:paraId="25EB539D">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参加由评审组长组织召开预备会议，协商工作日程安排等。</w:t>
      </w:r>
    </w:p>
    <w:p w14:paraId="1653D6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F7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首次会议</w:t>
      </w:r>
    </w:p>
    <w:p w14:paraId="4CDAFC44">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w:t>
      </w:r>
      <w:r>
        <w:rPr>
          <w:rFonts w:hint="default" w:ascii="Times New Roman" w:hAnsi="Times New Roman" w:eastAsia="国标宋体" w:cs="Times New Roman"/>
          <w:color w:val="auto"/>
          <w:spacing w:val="16"/>
          <w:sz w:val="28"/>
          <w:szCs w:val="28"/>
          <w:lang w:eastAsia="zh-CN"/>
        </w:rPr>
        <w:t>由评审</w:t>
      </w:r>
      <w:r>
        <w:rPr>
          <w:rFonts w:hint="default" w:ascii="Times New Roman" w:hAnsi="Times New Roman" w:eastAsia="国标宋体" w:cs="Times New Roman"/>
          <w:color w:val="auto"/>
          <w:spacing w:val="16"/>
          <w:sz w:val="28"/>
          <w:szCs w:val="28"/>
        </w:rPr>
        <w:t>组长主持召开的首次会议：</w:t>
      </w:r>
    </w:p>
    <w:p w14:paraId="336C057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与会各方代表介绍参会人员。</w:t>
      </w:r>
    </w:p>
    <w:p w14:paraId="32123139">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简要介绍整改工作的准备情况和自查情况。</w:t>
      </w:r>
    </w:p>
    <w:p w14:paraId="430F4C5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F8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意见交流</w:t>
      </w:r>
    </w:p>
    <w:p w14:paraId="3D11CA8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意见交流</w:t>
      </w:r>
      <w:r>
        <w:rPr>
          <w:rFonts w:hint="default" w:ascii="Times New Roman" w:hAnsi="Times New Roman" w:eastAsia="国标宋体" w:cs="Times New Roman"/>
          <w:color w:val="auto"/>
          <w:spacing w:val="16"/>
          <w:sz w:val="28"/>
          <w:szCs w:val="28"/>
        </w:rPr>
        <w:t>会议。</w:t>
      </w:r>
    </w:p>
    <w:p w14:paraId="28BE43C2">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对评审组提出的不符合项进行确认。</w:t>
      </w:r>
    </w:p>
    <w:p w14:paraId="05A1093E">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有权提出新的证据，证明其符合性。</w:t>
      </w:r>
    </w:p>
    <w:p w14:paraId="4C50AF67">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如</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拒绝签署备忘录，</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应当书面陈述理由，加盖</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公章后交评审组长。</w:t>
      </w:r>
    </w:p>
    <w:p w14:paraId="760997E0">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意见交流会也可以与</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合并进行。</w:t>
      </w:r>
    </w:p>
    <w:p w14:paraId="62BFB6BA">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F9 现场确认</w:t>
      </w: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总结会议</w:t>
      </w:r>
    </w:p>
    <w:p w14:paraId="50AD52B6">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default" w:ascii="Times New Roman" w:hAnsi="Times New Roman" w:eastAsia="国标宋体" w:cs="Times New Roman"/>
          <w:color w:val="auto"/>
          <w:spacing w:val="16"/>
          <w:sz w:val="28"/>
          <w:szCs w:val="28"/>
        </w:rPr>
        <w:t>参加由评审组长主持召开的</w:t>
      </w:r>
      <w:r>
        <w:rPr>
          <w:rFonts w:hint="default" w:ascii="Times New Roman" w:hAnsi="Times New Roman" w:eastAsia="国标宋体" w:cs="Times New Roman"/>
          <w:color w:val="auto"/>
          <w:spacing w:val="16"/>
          <w:sz w:val="28"/>
          <w:szCs w:val="28"/>
          <w:lang w:eastAsia="zh-CN"/>
        </w:rPr>
        <w:t>总结会议</w:t>
      </w:r>
      <w:r>
        <w:rPr>
          <w:rFonts w:hint="default" w:ascii="Times New Roman" w:hAnsi="Times New Roman" w:eastAsia="国标宋体" w:cs="Times New Roman"/>
          <w:color w:val="auto"/>
          <w:spacing w:val="16"/>
          <w:sz w:val="28"/>
          <w:szCs w:val="28"/>
        </w:rPr>
        <w:t>：</w:t>
      </w:r>
    </w:p>
    <w:p w14:paraId="46D3AAE3">
      <w:pPr>
        <w:adjustRightInd w:val="0"/>
        <w:snapToGrid w:val="0"/>
        <w:spacing w:line="360" w:lineRule="auto"/>
        <w:ind w:firstLine="624" w:firstLineChars="200"/>
        <w:rPr>
          <w:rFonts w:hint="default" w:ascii="Times New Roman" w:hAnsi="Times New Roman" w:eastAsia="国标宋体" w:cs="Times New Roman"/>
          <w:color w:val="auto"/>
          <w:spacing w:val="16"/>
          <w:sz w:val="28"/>
          <w:szCs w:val="28"/>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lang w:eastAsia="zh-CN"/>
        </w:rPr>
        <w:t>申请单位</w:t>
      </w:r>
      <w:r>
        <w:rPr>
          <w:rFonts w:hint="default" w:ascii="Times New Roman" w:hAnsi="Times New Roman" w:eastAsia="国标宋体" w:cs="Times New Roman"/>
          <w:color w:val="auto"/>
          <w:spacing w:val="16"/>
          <w:sz w:val="28"/>
          <w:szCs w:val="28"/>
        </w:rPr>
        <w:t>负责人代表机构表态。</w:t>
      </w:r>
    </w:p>
    <w:p w14:paraId="1ECCC3BB">
      <w:pPr>
        <w:adjustRightInd w:val="0"/>
        <w:snapToGrid w:val="0"/>
        <w:spacing w:line="360" w:lineRule="auto"/>
        <w:ind w:firstLine="624" w:firstLineChars="200"/>
        <w:rPr>
          <w:rFonts w:hint="default" w:ascii="Times New Roman" w:hAnsi="Times New Roman" w:eastAsia="国标宋体" w:cs="Times New Roman"/>
          <w:color w:val="auto"/>
          <w:spacing w:val="16"/>
          <w:szCs w:val="24"/>
        </w:rPr>
      </w:pPr>
      <w:r>
        <w:rPr>
          <w:rFonts w:hint="eastAsia" w:eastAsia="国标宋体" w:cs="Times New Roman"/>
          <w:color w:val="auto"/>
          <w:spacing w:val="16"/>
          <w:sz w:val="28"/>
          <w:szCs w:val="28"/>
          <w:lang w:eastAsia="zh-CN"/>
        </w:rPr>
        <w:t>——</w:t>
      </w:r>
      <w:r>
        <w:rPr>
          <w:rFonts w:hint="default" w:ascii="Times New Roman" w:hAnsi="Times New Roman" w:eastAsia="国标宋体" w:cs="Times New Roman"/>
          <w:color w:val="auto"/>
          <w:spacing w:val="16"/>
          <w:sz w:val="28"/>
          <w:szCs w:val="28"/>
        </w:rPr>
        <w:t>接收评审组长移交的《</w:t>
      </w:r>
      <w:r>
        <w:rPr>
          <w:rFonts w:hint="default" w:ascii="Times New Roman" w:hAnsi="Times New Roman" w:eastAsia="国标宋体" w:cs="Times New Roman"/>
          <w:color w:val="auto"/>
          <w:spacing w:val="16"/>
          <w:sz w:val="28"/>
          <w:szCs w:val="28"/>
          <w:lang w:eastAsia="zh-CN"/>
        </w:rPr>
        <w:t>特种设备检验机构核准鉴定评审工作备忘录</w:t>
      </w:r>
      <w:r>
        <w:rPr>
          <w:rFonts w:hint="default" w:ascii="Times New Roman" w:hAnsi="Times New Roman" w:eastAsia="国标宋体" w:cs="Times New Roman"/>
          <w:color w:val="auto"/>
          <w:spacing w:val="16"/>
          <w:sz w:val="28"/>
          <w:szCs w:val="28"/>
        </w:rPr>
        <w:t>》。</w:t>
      </w:r>
    </w:p>
    <w:p w14:paraId="41FC8FD6">
      <w:pPr>
        <w:adjustRightInd w:val="0"/>
        <w:snapToGrid w:val="0"/>
        <w:spacing w:line="360" w:lineRule="auto"/>
        <w:ind w:firstLine="480" w:firstLineChars="200"/>
        <w:rPr>
          <w:rFonts w:hint="default" w:ascii="Times New Roman" w:hAnsi="Times New Roman" w:eastAsia="国标宋体" w:cs="Times New Roman"/>
          <w:color w:val="auto"/>
          <w:szCs w:val="24"/>
        </w:rPr>
      </w:pPr>
    </w:p>
    <w:p w14:paraId="4874FC65">
      <w:pPr>
        <w:rPr>
          <w:rFonts w:hint="default" w:ascii="Times New Roman" w:hAnsi="Times New Roman" w:eastAsia="国标宋体" w:cs="Times New Roman"/>
          <w:color w:val="auto"/>
        </w:rPr>
      </w:pPr>
    </w:p>
    <w:p w14:paraId="7B9C92A5">
      <w:pPr>
        <w:rPr>
          <w:rFonts w:hint="default" w:ascii="Times New Roman" w:hAnsi="Times New Roman" w:eastAsia="国标宋体" w:cs="Times New Roman"/>
          <w:color w:val="auto"/>
        </w:rPr>
      </w:pPr>
    </w:p>
    <w:p w14:paraId="67816B8E">
      <w:pPr>
        <w:spacing w:line="360" w:lineRule="auto"/>
        <w:rPr>
          <w:rFonts w:hint="default" w:ascii="Times New Roman" w:hAnsi="Times New Roman" w:eastAsia="国标宋体" w:cs="Times New Roman"/>
          <w:color w:val="auto"/>
          <w:sz w:val="28"/>
          <w:szCs w:val="21"/>
        </w:rPr>
        <w:sectPr>
          <w:pgSz w:w="11906" w:h="16838"/>
          <w:pgMar w:top="1440" w:right="1080" w:bottom="1440" w:left="1080" w:header="801" w:footer="706" w:gutter="0"/>
          <w:pgBorders>
            <w:top w:val="none" w:sz="0" w:space="0"/>
            <w:left w:val="none" w:sz="0" w:space="0"/>
            <w:bottom w:val="none" w:sz="0" w:space="0"/>
            <w:right w:val="none" w:sz="0" w:space="0"/>
          </w:pgBorders>
          <w:pgNumType w:fmt="decimal"/>
          <w:cols w:space="720" w:num="1"/>
        </w:sectPr>
      </w:pPr>
    </w:p>
    <w:p w14:paraId="3F9B933C">
      <w:pPr>
        <w:pStyle w:val="2"/>
        <w:spacing w:line="360" w:lineRule="auto"/>
        <w:jc w:val="center"/>
        <w:outlineLvl w:val="0"/>
        <w:rPr>
          <w:rFonts w:hint="default" w:ascii="Times New Roman" w:hAnsi="Times New Roman" w:eastAsia="国标宋体" w:cs="Times New Roman"/>
          <w:b w:val="0"/>
          <w:bCs/>
          <w:color w:val="auto"/>
          <w:sz w:val="32"/>
          <w:szCs w:val="32"/>
          <w:lang w:val="en-US" w:eastAsia="zh-CN"/>
        </w:rPr>
      </w:pPr>
      <w:bookmarkStart w:id="141" w:name="_Toc999179777"/>
      <w:bookmarkStart w:id="142" w:name="_Toc1388706370"/>
      <w:bookmarkStart w:id="143" w:name="_Toc920595687"/>
      <w:r>
        <w:rPr>
          <w:rFonts w:hint="default" w:ascii="Times New Roman" w:hAnsi="Times New Roman" w:eastAsia="国标宋体" w:cs="Times New Roman"/>
          <w:b w:val="0"/>
          <w:bCs/>
          <w:color w:val="auto"/>
          <w:sz w:val="32"/>
          <w:szCs w:val="32"/>
          <w:lang w:val="en-US" w:eastAsia="zh-CN"/>
        </w:rPr>
        <w:t>附件G   终止评审确认表</w:t>
      </w:r>
      <w:bookmarkEnd w:id="141"/>
      <w:bookmarkEnd w:id="142"/>
      <w:bookmarkEnd w:id="143"/>
    </w:p>
    <w:p w14:paraId="362988D3">
      <w:pPr>
        <w:outlineLvl w:val="9"/>
        <w:rPr>
          <w:rFonts w:hint="default" w:ascii="Times New Roman" w:hAnsi="Times New Roman" w:eastAsia="国标宋体" w:cs="Times New Roman"/>
          <w:color w:val="auto"/>
          <w:lang w:val="en-US" w:eastAsia="zh-CN"/>
        </w:rPr>
      </w:pPr>
    </w:p>
    <w:p w14:paraId="653FB612">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 xml:space="preserve">1. </w:t>
      </w:r>
      <w:r>
        <w:rPr>
          <w:rFonts w:hint="default" w:ascii="Times New Roman" w:hAnsi="Times New Roman" w:eastAsia="国标宋体" w:cs="Times New Roman"/>
          <w:color w:val="auto"/>
          <w:sz w:val="28"/>
          <w:szCs w:val="28"/>
          <w:lang w:val="en-US" w:eastAsia="zh-CN"/>
        </w:rPr>
        <w:t>资源条件不具备、</w:t>
      </w:r>
      <w:r>
        <w:rPr>
          <w:rFonts w:hint="default" w:ascii="Times New Roman" w:hAnsi="Times New Roman" w:eastAsia="国标宋体" w:cs="Times New Roman"/>
          <w:color w:val="auto"/>
          <w:sz w:val="28"/>
          <w:szCs w:val="28"/>
        </w:rPr>
        <w:t>资料严重失实（任一项即终止）</w:t>
      </w:r>
    </w:p>
    <w:p w14:paraId="7C1EC1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主体（</w:t>
      </w:r>
      <w:r>
        <w:rPr>
          <w:rFonts w:hint="default" w:ascii="Times New Roman" w:hAnsi="Times New Roman" w:eastAsia="国标宋体" w:cs="Times New Roman"/>
          <w:color w:val="auto"/>
          <w:kern w:val="0"/>
          <w:sz w:val="28"/>
          <w:szCs w:val="28"/>
          <w:highlight w:val="none"/>
          <w:lang w:val="en-US" w:eastAsia="zh-CN" w:bidi="ar"/>
        </w:rPr>
        <w:t>名称、</w:t>
      </w:r>
      <w:r>
        <w:rPr>
          <w:rFonts w:hint="default" w:ascii="Times New Roman" w:hAnsi="Times New Roman" w:eastAsia="国标宋体" w:cs="Times New Roman"/>
          <w:color w:val="auto"/>
          <w:kern w:val="0"/>
          <w:sz w:val="28"/>
          <w:szCs w:val="28"/>
          <w:lang w:val="en-US" w:eastAsia="zh-CN" w:bidi="ar"/>
        </w:rPr>
        <w:t>地址、</w:t>
      </w:r>
      <w:r>
        <w:rPr>
          <w:rFonts w:hint="eastAsia" w:eastAsia="国标宋体" w:cs="Times New Roman"/>
          <w:color w:val="auto"/>
          <w:kern w:val="0"/>
          <w:sz w:val="28"/>
          <w:szCs w:val="28"/>
          <w:lang w:val="en-US" w:eastAsia="zh-CN" w:bidi="ar"/>
        </w:rPr>
        <w:t>法定代表人</w:t>
      </w:r>
      <w:r>
        <w:rPr>
          <w:rFonts w:hint="default" w:ascii="Times New Roman" w:hAnsi="Times New Roman" w:eastAsia="国标宋体" w:cs="Times New Roman"/>
          <w:color w:val="auto"/>
          <w:kern w:val="0"/>
          <w:sz w:val="28"/>
          <w:szCs w:val="28"/>
          <w:lang w:val="en-US" w:eastAsia="zh-CN" w:bidi="ar"/>
        </w:rPr>
        <w:t>等）信息与实际严重不符，且无法提供有效证明</w:t>
      </w:r>
    </w:p>
    <w:p w14:paraId="22ACD1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关键岗位人员资质、社保、劳动合同虚假、挂靠、冒名</w:t>
      </w:r>
    </w:p>
    <w:p w14:paraId="66E73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人员严重不足（申请单位人员数量不足</w:t>
      </w:r>
      <w:r>
        <w:rPr>
          <w:rFonts w:hint="default" w:ascii="Times New Roman" w:hAnsi="Times New Roman" w:eastAsia="国标宋体" w:cs="Times New Roman"/>
          <w:color w:val="auto"/>
          <w:sz w:val="28"/>
          <w:szCs w:val="28"/>
          <w:lang w:eastAsia="zh-CN" w:bidi="ar"/>
        </w:rPr>
        <w:t>《核准规则》</w:t>
      </w:r>
      <w:r>
        <w:rPr>
          <w:rFonts w:hint="default" w:ascii="Times New Roman" w:hAnsi="Times New Roman" w:eastAsia="国标宋体" w:cs="Times New Roman"/>
          <w:color w:val="auto"/>
          <w:sz w:val="28"/>
          <w:szCs w:val="28"/>
          <w:lang w:bidi="ar"/>
        </w:rPr>
        <w:t>人员要求总数量的</w:t>
      </w:r>
      <w:r>
        <w:rPr>
          <w:rFonts w:hint="default" w:ascii="Times New Roman" w:hAnsi="Times New Roman" w:eastAsia="国标宋体" w:cs="Times New Roman"/>
          <w:color w:val="auto"/>
          <w:sz w:val="28"/>
          <w:szCs w:val="28"/>
          <w:lang w:eastAsia="zh-CN" w:bidi="ar"/>
        </w:rPr>
        <w:t>7</w:t>
      </w:r>
      <w:r>
        <w:rPr>
          <w:rFonts w:hint="default" w:ascii="Times New Roman" w:hAnsi="Times New Roman" w:eastAsia="国标宋体" w:cs="Times New Roman"/>
          <w:color w:val="auto"/>
          <w:sz w:val="28"/>
          <w:szCs w:val="28"/>
          <w:lang w:bidi="ar"/>
        </w:rPr>
        <w:t>0%）</w:t>
      </w:r>
    </w:p>
    <w:p w14:paraId="26E021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lang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场所严重不符合要求</w:t>
      </w:r>
    </w:p>
    <w:p w14:paraId="1D6E58E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sz w:val="28"/>
          <w:szCs w:val="28"/>
          <w:lang w:bidi="ar"/>
        </w:rPr>
        <w:t>缺乏必备的设备设施</w:t>
      </w:r>
    </w:p>
    <w:p w14:paraId="314A42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检验设备/仪器台账、购置证明、检定证书伪造、套用、严重不符</w:t>
      </w:r>
    </w:p>
    <w:p w14:paraId="26F6F5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租借设备、临时拼凑条件应付评审</w:t>
      </w:r>
    </w:p>
    <w:p w14:paraId="509B37E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检验业绩、合同、报告、案例编造、虚假</w:t>
      </w:r>
    </w:p>
    <w:p w14:paraId="1B8DCF2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strike w:val="0"/>
          <w:color w:val="auto"/>
          <w:spacing w:val="0"/>
          <w:sz w:val="28"/>
          <w:szCs w:val="28"/>
          <w:highlight w:val="none"/>
          <w:lang w:val="en-US" w:eastAsia="zh-CN" w:bidi="ar"/>
        </w:rPr>
        <w:t>申请气瓶检验的检验场地无法满足检验要求，且无法立即整改</w:t>
      </w:r>
    </w:p>
    <w:p w14:paraId="10F17A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strike w:val="0"/>
          <w:color w:val="auto"/>
          <w:spacing w:val="0"/>
          <w:sz w:val="28"/>
          <w:szCs w:val="28"/>
          <w:highlight w:val="none"/>
          <w:lang w:val="en-US" w:eastAsia="zh-CN" w:bidi="ar"/>
        </w:rPr>
      </w:pPr>
    </w:p>
    <w:p w14:paraId="5185A69E">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2. 质量管理体系</w:t>
      </w:r>
      <w:r>
        <w:rPr>
          <w:rFonts w:hint="default" w:ascii="Times New Roman" w:hAnsi="Times New Roman" w:eastAsia="国标宋体" w:cs="Times New Roman"/>
          <w:color w:val="auto"/>
          <w:sz w:val="28"/>
          <w:szCs w:val="28"/>
          <w:lang w:val="en-US" w:eastAsia="zh-CN"/>
        </w:rPr>
        <w:t>未建立或</w:t>
      </w:r>
      <w:r>
        <w:rPr>
          <w:rFonts w:hint="default" w:ascii="Times New Roman" w:hAnsi="Times New Roman" w:eastAsia="国标宋体" w:cs="Times New Roman"/>
          <w:color w:val="auto"/>
          <w:sz w:val="28"/>
          <w:szCs w:val="28"/>
        </w:rPr>
        <w:t>不能有效实施（任一项即终止）</w:t>
      </w:r>
    </w:p>
    <w:p w14:paraId="1B9D15F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未按 TSG Z7001</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2021 建立质量管理体系</w:t>
      </w:r>
    </w:p>
    <w:p w14:paraId="7FC75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质量/技术负责人、责任师等关键岗位虚设、不履职</w:t>
      </w:r>
    </w:p>
    <w:p w14:paraId="39CFDE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人员无培训、无授权、无考核</w:t>
      </w:r>
    </w:p>
    <w:p w14:paraId="15CA0A5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检验过程无方案、无记录、无管控，流程完全失控</w:t>
      </w:r>
    </w:p>
    <w:p w14:paraId="0784EBC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实际检验过程，严重偏离体系文件或法规要求</w:t>
      </w:r>
    </w:p>
    <w:p w14:paraId="1F76D9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p>
    <w:p w14:paraId="44B03900">
      <w:pPr>
        <w:keepNext w:val="0"/>
        <w:keepLines w:val="0"/>
        <w:widowControl/>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3. 严重的检验质量问题（任一项即终止）</w:t>
      </w:r>
    </w:p>
    <w:p w14:paraId="2728C4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漏检法规、规范要求的关键检验项目</w:t>
      </w:r>
    </w:p>
    <w:p w14:paraId="6F5A1B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原始记录编造、篡改数据、无法复现检验过程</w:t>
      </w:r>
    </w:p>
    <w:p w14:paraId="44EACD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被检设备存在重大安全隐患，仍出具合格结论</w:t>
      </w:r>
    </w:p>
    <w:p w14:paraId="61B38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检验报告关键信息错误、结论失实、失去法律效力</w:t>
      </w:r>
    </w:p>
    <w:p w14:paraId="5F6BEE9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伪造、篡改检验数据、报告、签字</w:t>
      </w:r>
    </w:p>
    <w:p w14:paraId="481721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原始记录与设备实际状况严重不符，数据明显编造</w:t>
      </w:r>
    </w:p>
    <w:p w14:paraId="59056F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03630A41">
      <w:pPr>
        <w:keepNext w:val="0"/>
        <w:keepLines w:val="0"/>
        <w:widowControl/>
        <w:numPr>
          <w:ilvl w:val="0"/>
          <w:numId w:val="8"/>
        </w:numPr>
        <w:suppressLineNumbers w:val="0"/>
        <w:pBdr>
          <w:top w:val="none" w:color="auto" w:sz="0" w:space="0"/>
          <w:left w:val="none" w:color="auto" w:sz="0" w:space="0"/>
          <w:right w:val="none" w:color="auto" w:sz="0" w:space="0"/>
        </w:pBdr>
        <w:spacing w:before="0" w:beforeAutospacing="0" w:after="0" w:afterAutospacing="0" w:line="360" w:lineRule="atLeast"/>
        <w:ind w:left="0" w:right="0"/>
        <w:jc w:val="left"/>
        <w:outlineLvl w:val="9"/>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违法、造假和虚假检验行为（任一项即终止</w:t>
      </w:r>
      <w:r>
        <w:rPr>
          <w:rFonts w:hint="default" w:ascii="Times New Roman" w:hAnsi="Times New Roman" w:eastAsia="国标宋体" w:cs="Times New Roman"/>
          <w:color w:val="auto"/>
          <w:sz w:val="28"/>
          <w:szCs w:val="28"/>
          <w:lang w:eastAsia="zh-CN"/>
        </w:rPr>
        <w:t>，</w:t>
      </w:r>
      <w:r>
        <w:rPr>
          <w:rFonts w:hint="default" w:ascii="Times New Roman" w:hAnsi="Times New Roman" w:eastAsia="国标宋体" w:cs="Times New Roman"/>
          <w:color w:val="auto"/>
          <w:sz w:val="28"/>
          <w:szCs w:val="28"/>
          <w:lang w:val="en-US" w:eastAsia="zh-CN"/>
        </w:rPr>
        <w:t>之前已被监察部门处理完毕的不计入内</w:t>
      </w:r>
      <w:r>
        <w:rPr>
          <w:rFonts w:hint="default" w:ascii="Times New Roman" w:hAnsi="Times New Roman" w:eastAsia="国标宋体" w:cs="Times New Roman"/>
          <w:color w:val="auto"/>
          <w:sz w:val="28"/>
          <w:szCs w:val="28"/>
        </w:rPr>
        <w:t>）</w:t>
      </w:r>
    </w:p>
    <w:p w14:paraId="008A9906">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未经核准或者超出核准范围、使用未取得相应资格的人员从事检验、检测的； </w:t>
      </w:r>
    </w:p>
    <w:p w14:paraId="085BF777">
      <w:pPr>
        <w:keepNext w:val="0"/>
        <w:keepLines w:val="0"/>
        <w:widowControl/>
        <w:suppressLineNumbers w:val="0"/>
        <w:jc w:val="left"/>
        <w:rPr>
          <w:rFonts w:hint="default" w:ascii="Times New Roman" w:hAnsi="Times New Roman" w:eastAsia="国标宋体" w:cs="Times New Roman"/>
          <w:color w:val="auto"/>
          <w:kern w:val="0"/>
          <w:sz w:val="28"/>
          <w:szCs w:val="28"/>
          <w:highlight w:val="none"/>
          <w:lang w:val="en-US" w:eastAsia="zh-CN" w:bidi="ar"/>
        </w:rPr>
      </w:pPr>
      <w:r>
        <w:rPr>
          <w:rFonts w:hint="eastAsia" w:eastAsia="国标宋体" w:cs="Times New Roman"/>
          <w:color w:val="auto"/>
          <w:kern w:val="0"/>
          <w:sz w:val="28"/>
          <w:szCs w:val="28"/>
          <w:highlight w:val="none"/>
          <w:lang w:val="en-US" w:eastAsia="zh-CN" w:bidi="ar"/>
        </w:rPr>
        <w:t>□实际检验</w:t>
      </w:r>
      <w:r>
        <w:rPr>
          <w:rFonts w:hint="default" w:ascii="Times New Roman" w:hAnsi="Times New Roman" w:eastAsia="国标宋体" w:cs="Times New Roman"/>
          <w:color w:val="auto"/>
          <w:kern w:val="0"/>
          <w:sz w:val="28"/>
          <w:szCs w:val="28"/>
          <w:highlight w:val="none"/>
          <w:lang w:val="en-US" w:eastAsia="zh-CN" w:bidi="ar"/>
        </w:rPr>
        <w:t>、检测</w:t>
      </w:r>
      <w:r>
        <w:rPr>
          <w:rFonts w:hint="eastAsia" w:eastAsia="国标宋体" w:cs="Times New Roman"/>
          <w:color w:val="auto"/>
          <w:kern w:val="0"/>
          <w:sz w:val="28"/>
          <w:szCs w:val="28"/>
          <w:highlight w:val="none"/>
          <w:lang w:val="en-US" w:eastAsia="zh-CN" w:bidi="ar"/>
        </w:rPr>
        <w:t>人员与检验报告不一致的；</w:t>
      </w:r>
    </w:p>
    <w:p w14:paraId="0FB60DC4">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未按照安全技术规范的要求进行检验、检测的； </w:t>
      </w:r>
    </w:p>
    <w:p w14:paraId="0253D5EF">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出具虚假的检验、检测结果和鉴定结论或者检验、检测结果和鉴定结论严重失实的；</w:t>
      </w:r>
    </w:p>
    <w:p w14:paraId="6B31B3AB">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发现特种设备存在严重事故隐患，未及时告知相关单位，并立即向负责特种设备安全监督管理的部门报告的； </w:t>
      </w:r>
    </w:p>
    <w:p w14:paraId="26AC4A67">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泄露检验、检测过程中知悉的商业秘密的； </w:t>
      </w:r>
    </w:p>
    <w:p w14:paraId="6C9642AC">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从事有关特种设备的生产、经营活动的； </w:t>
      </w:r>
    </w:p>
    <w:p w14:paraId="46F7F4A5">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推荐或者监制、监销特种设备的； </w:t>
      </w:r>
    </w:p>
    <w:p w14:paraId="1E247C59">
      <w:pPr>
        <w:keepNext w:val="0"/>
        <w:keepLines w:val="0"/>
        <w:widowControl/>
        <w:suppressLineNumbers w:val="0"/>
        <w:jc w:val="left"/>
        <w:rPr>
          <w:rFonts w:hint="default" w:ascii="Times New Roman" w:hAnsi="Times New Roman" w:eastAsia="国标宋体" w:cs="Times New Roman"/>
          <w:color w:val="auto"/>
          <w:sz w:val="28"/>
          <w:szCs w:val="28"/>
          <w:highlight w:val="none"/>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kern w:val="0"/>
          <w:sz w:val="28"/>
          <w:szCs w:val="28"/>
          <w:highlight w:val="none"/>
          <w:lang w:val="en-US" w:eastAsia="zh-CN" w:bidi="ar"/>
        </w:rPr>
        <w:t xml:space="preserve">利用检验工作故意刁难相关单位的。 </w:t>
      </w:r>
    </w:p>
    <w:p w14:paraId="409EAA1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highlight w:val="none"/>
          <w:lang w:val="en-US" w:eastAsia="zh-CN" w:bidi="ar"/>
        </w:rPr>
      </w:pPr>
    </w:p>
    <w:p w14:paraId="4DF66D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b/>
          <w:bCs/>
          <w:color w:val="auto"/>
          <w:kern w:val="0"/>
          <w:sz w:val="28"/>
          <w:szCs w:val="28"/>
          <w:highlight w:val="none"/>
          <w:lang w:val="en-US" w:eastAsia="zh-CN" w:bidi="ar"/>
        </w:rPr>
      </w:pPr>
      <w:r>
        <w:rPr>
          <w:rFonts w:hint="default" w:ascii="Times New Roman" w:hAnsi="Times New Roman" w:eastAsia="国标宋体" w:cs="Times New Roman"/>
          <w:b/>
          <w:bCs/>
          <w:color w:val="auto"/>
          <w:kern w:val="0"/>
          <w:sz w:val="28"/>
          <w:szCs w:val="28"/>
          <w:highlight w:val="none"/>
          <w:lang w:val="en-US" w:eastAsia="zh-CN" w:bidi="ar"/>
        </w:rPr>
        <w:t>5.</w:t>
      </w:r>
      <w:r>
        <w:rPr>
          <w:rFonts w:hint="default" w:ascii="Times New Roman" w:hAnsi="Times New Roman" w:eastAsia="国标宋体" w:cs="Times New Roman"/>
          <w:b/>
          <w:bCs/>
          <w:color w:val="auto"/>
          <w:kern w:val="0"/>
          <w:sz w:val="28"/>
          <w:szCs w:val="28"/>
          <w:lang w:val="en-US" w:eastAsia="zh-CN" w:bidi="ar"/>
        </w:rPr>
        <w:t>其他</w:t>
      </w:r>
    </w:p>
    <w:p w14:paraId="37F37FAA">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关键岗位人员和其他检验检测人员未按要求到评审现场（参照本指南</w:t>
      </w:r>
      <w:r>
        <w:rPr>
          <w:rFonts w:hint="default" w:ascii="Times New Roman" w:hAnsi="Times New Roman" w:eastAsia="国标宋体" w:cs="Times New Roman"/>
          <w:color w:val="auto"/>
          <w:spacing w:val="0"/>
          <w:sz w:val="28"/>
          <w:szCs w:val="28"/>
          <w:highlight w:val="none"/>
          <w:lang w:bidi="ar"/>
        </w:rPr>
        <w:t>5.7.1</w:t>
      </w:r>
      <w:r>
        <w:rPr>
          <w:rFonts w:hint="default" w:ascii="Times New Roman" w:hAnsi="Times New Roman" w:eastAsia="国标宋体" w:cs="Times New Roman"/>
          <w:color w:val="auto"/>
          <w:spacing w:val="0"/>
          <w:sz w:val="28"/>
          <w:szCs w:val="28"/>
          <w:highlight w:val="none"/>
          <w:lang w:eastAsia="zh-CN" w:bidi="ar"/>
        </w:rPr>
        <w:t>条</w:t>
      </w:r>
      <w:r>
        <w:rPr>
          <w:rFonts w:hint="default" w:ascii="Times New Roman" w:hAnsi="Times New Roman" w:eastAsia="国标宋体" w:cs="Times New Roman"/>
          <w:color w:val="auto"/>
          <w:spacing w:val="0"/>
          <w:sz w:val="28"/>
          <w:szCs w:val="28"/>
          <w:highlight w:val="none"/>
          <w:lang w:val="en-US" w:eastAsia="zh-CN" w:bidi="ar"/>
        </w:rPr>
        <w:t>）</w:t>
      </w:r>
    </w:p>
    <w:p w14:paraId="34A5A17E">
      <w:pPr>
        <w:widowControl/>
        <w:pBdr>
          <w:top w:val="none" w:color="auto" w:sz="0" w:space="0"/>
          <w:left w:val="none" w:color="auto" w:sz="0" w:space="0"/>
          <w:bottom w:val="none" w:color="auto" w:sz="0" w:space="0"/>
          <w:right w:val="none" w:color="auto" w:sz="0" w:space="0"/>
        </w:pBdr>
        <w:spacing w:line="360" w:lineRule="atLeast"/>
        <w:ind w:firstLine="0" w:firstLineChars="0"/>
        <w:jc w:val="left"/>
        <w:rPr>
          <w:rFonts w:hint="default" w:ascii="Times New Roman" w:hAnsi="Times New Roman" w:eastAsia="国标宋体" w:cs="Times New Roman"/>
          <w:color w:val="auto"/>
          <w:spacing w:val="0"/>
          <w:sz w:val="28"/>
          <w:szCs w:val="28"/>
          <w:highlight w:val="none"/>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val="en-US" w:eastAsia="zh-CN" w:bidi="ar"/>
        </w:rPr>
        <w:t>采信能力验证结论为</w:t>
      </w:r>
      <w:r>
        <w:rPr>
          <w:rFonts w:hint="default" w:ascii="Times New Roman" w:hAnsi="Times New Roman" w:eastAsia="国标宋体" w:cs="Times New Roman"/>
          <w:color w:val="auto"/>
          <w:spacing w:val="0"/>
          <w:sz w:val="28"/>
          <w:szCs w:val="28"/>
          <w:highlight w:val="none"/>
          <w:lang w:bidi="ar"/>
        </w:rPr>
        <w:t>不符合特种设备安全技术规范或相关标准的要求</w:t>
      </w:r>
    </w:p>
    <w:p w14:paraId="7939507B">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bidi="ar"/>
        </w:rPr>
        <w:t>所在地出现不可抗拒的自然灾害等</w:t>
      </w:r>
    </w:p>
    <w:p w14:paraId="3770D604">
      <w:pPr>
        <w:widowControl/>
        <w:pBdr>
          <w:top w:val="none" w:color="auto" w:sz="0" w:space="0"/>
          <w:left w:val="none" w:color="auto" w:sz="0" w:space="0"/>
          <w:bottom w:val="none" w:color="auto" w:sz="0" w:space="0"/>
          <w:right w:val="none" w:color="auto" w:sz="0" w:space="0"/>
        </w:pBdr>
        <w:autoSpaceDE/>
        <w:autoSpaceDN/>
        <w:snapToGrid/>
        <w:spacing w:line="360" w:lineRule="atLeast"/>
        <w:ind w:firstLine="0" w:firstLineChars="0"/>
        <w:jc w:val="left"/>
        <w:outlineLvl w:val="9"/>
        <w:rPr>
          <w:rFonts w:hint="default" w:ascii="Times New Roman" w:hAnsi="Times New Roman" w:eastAsia="国标宋体" w:cs="Times New Roman"/>
          <w:color w:val="auto"/>
          <w:spacing w:val="0"/>
          <w:sz w:val="28"/>
          <w:szCs w:val="28"/>
          <w:highlight w:val="none"/>
          <w:lang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highlight w:val="none"/>
          <w:lang w:eastAsia="zh-CN" w:bidi="ar"/>
        </w:rPr>
        <w:t>申请单位</w:t>
      </w:r>
      <w:r>
        <w:rPr>
          <w:rFonts w:hint="default" w:ascii="Times New Roman" w:hAnsi="Times New Roman" w:eastAsia="国标宋体" w:cs="Times New Roman"/>
          <w:color w:val="auto"/>
          <w:spacing w:val="0"/>
          <w:sz w:val="28"/>
          <w:szCs w:val="28"/>
          <w:highlight w:val="none"/>
          <w:lang w:val="en-US" w:eastAsia="zh-CN" w:bidi="ar"/>
        </w:rPr>
        <w:t>发生</w:t>
      </w:r>
      <w:r>
        <w:rPr>
          <w:rFonts w:hint="default" w:ascii="Times New Roman" w:hAnsi="Times New Roman" w:eastAsia="国标宋体" w:cs="Times New Roman"/>
          <w:color w:val="auto"/>
          <w:spacing w:val="0"/>
          <w:sz w:val="28"/>
          <w:szCs w:val="28"/>
          <w:highlight w:val="none"/>
          <w:lang w:bidi="ar"/>
        </w:rPr>
        <w:t>安全事故</w:t>
      </w:r>
    </w:p>
    <w:p w14:paraId="728A4730">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r>
        <w:rPr>
          <w:rFonts w:hint="eastAsia" w:eastAsia="国标宋体" w:cs="Times New Roman"/>
          <w:color w:val="auto"/>
          <w:kern w:val="0"/>
          <w:sz w:val="28"/>
          <w:szCs w:val="28"/>
          <w:highlight w:val="none"/>
          <w:lang w:val="en-US" w:eastAsia="zh-CN" w:bidi="ar"/>
        </w:rPr>
        <w:t>□</w:t>
      </w:r>
      <w:r>
        <w:rPr>
          <w:rFonts w:hint="default" w:ascii="Times New Roman" w:hAnsi="Times New Roman" w:eastAsia="国标宋体" w:cs="Times New Roman"/>
          <w:color w:val="auto"/>
          <w:spacing w:val="0"/>
          <w:sz w:val="28"/>
          <w:szCs w:val="28"/>
          <w:lang w:bidi="ar"/>
        </w:rPr>
        <w:t>其他使评审无法进行</w:t>
      </w:r>
      <w:r>
        <w:rPr>
          <w:rFonts w:hint="default" w:ascii="Times New Roman" w:hAnsi="Times New Roman" w:eastAsia="国标宋体" w:cs="Times New Roman"/>
          <w:color w:val="auto"/>
          <w:spacing w:val="0"/>
          <w:sz w:val="28"/>
          <w:szCs w:val="28"/>
          <w:lang w:val="en-US" w:eastAsia="zh-CN" w:bidi="ar"/>
        </w:rPr>
        <w:t>的情况</w:t>
      </w:r>
      <w:r>
        <w:rPr>
          <w:rFonts w:hint="default" w:ascii="Times New Roman" w:hAnsi="Times New Roman" w:eastAsia="国标宋体" w:cs="Times New Roman"/>
          <w:color w:val="auto"/>
          <w:spacing w:val="0"/>
          <w:sz w:val="28"/>
          <w:szCs w:val="28"/>
          <w:lang w:bidi="ar"/>
        </w:rPr>
        <w:t>或因其他原因需</w:t>
      </w:r>
      <w:r>
        <w:rPr>
          <w:rFonts w:hint="default" w:ascii="Times New Roman" w:hAnsi="Times New Roman" w:eastAsia="国标宋体" w:cs="Times New Roman"/>
          <w:color w:val="auto"/>
          <w:spacing w:val="0"/>
          <w:sz w:val="28"/>
          <w:szCs w:val="28"/>
          <w:lang w:val="en-US" w:eastAsia="zh-CN" w:bidi="ar"/>
        </w:rPr>
        <w:t>终止</w:t>
      </w:r>
      <w:r>
        <w:rPr>
          <w:rFonts w:hint="default" w:ascii="Times New Roman" w:hAnsi="Times New Roman" w:eastAsia="国标宋体" w:cs="Times New Roman"/>
          <w:color w:val="auto"/>
          <w:spacing w:val="0"/>
          <w:sz w:val="28"/>
          <w:szCs w:val="28"/>
          <w:lang w:bidi="ar"/>
        </w:rPr>
        <w:t>现场评审</w:t>
      </w:r>
    </w:p>
    <w:p w14:paraId="266EE256">
      <w:pPr>
        <w:widowControl/>
        <w:pBdr>
          <w:top w:val="none" w:color="auto" w:sz="0" w:space="0"/>
          <w:left w:val="none" w:color="auto" w:sz="0" w:space="0"/>
          <w:bottom w:val="none" w:color="auto" w:sz="0" w:space="0"/>
          <w:right w:val="none" w:color="auto" w:sz="0" w:space="0"/>
        </w:pBdr>
        <w:spacing w:line="360" w:lineRule="atLeast"/>
        <w:jc w:val="left"/>
        <w:rPr>
          <w:rFonts w:hint="default" w:ascii="Times New Roman" w:hAnsi="Times New Roman" w:eastAsia="国标宋体" w:cs="Times New Roman"/>
          <w:color w:val="auto"/>
          <w:spacing w:val="0"/>
          <w:sz w:val="28"/>
          <w:szCs w:val="28"/>
          <w:lang w:eastAsia="zh-CN" w:bidi="ar"/>
        </w:rPr>
      </w:pPr>
    </w:p>
    <w:p w14:paraId="0FAB656A">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pacing w:val="0"/>
          <w:sz w:val="28"/>
          <w:szCs w:val="28"/>
          <w:lang w:val="en-US" w:eastAsia="zh-CN" w:bidi="ar"/>
        </w:rPr>
        <w:t>补充说明：</w:t>
      </w:r>
      <w:r>
        <w:rPr>
          <w:rFonts w:hint="default" w:ascii="Times New Roman" w:hAnsi="Times New Roman" w:eastAsia="国标宋体" w:cs="Times New Roman"/>
          <w:color w:val="auto"/>
          <w:spacing w:val="0"/>
          <w:sz w:val="28"/>
          <w:szCs w:val="28"/>
          <w:u w:val="single"/>
          <w:lang w:val="en-US" w:eastAsia="zh-CN" w:bidi="ar"/>
        </w:rPr>
        <w:t xml:space="preserve">                                                                      </w:t>
      </w:r>
    </w:p>
    <w:p w14:paraId="12C62FC4">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6F01DB1">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3EFF4540">
      <w:pPr>
        <w:outlineLvl w:val="9"/>
        <w:rPr>
          <w:rFonts w:hint="default" w:ascii="Times New Roman" w:hAnsi="Times New Roman" w:eastAsia="国标宋体" w:cs="Times New Roman"/>
          <w:color w:val="auto"/>
          <w:sz w:val="28"/>
          <w:szCs w:val="28"/>
          <w:u w:val="single"/>
          <w:lang w:val="en-US" w:eastAsia="zh-CN"/>
        </w:rPr>
      </w:pPr>
      <w:r>
        <w:rPr>
          <w:rFonts w:hint="default" w:ascii="Times New Roman" w:hAnsi="Times New Roman" w:eastAsia="国标宋体" w:cs="Times New Roman"/>
          <w:color w:val="auto"/>
          <w:sz w:val="28"/>
          <w:szCs w:val="28"/>
          <w:u w:val="single"/>
          <w:lang w:val="en-US" w:eastAsia="zh-CN"/>
        </w:rPr>
        <w:t xml:space="preserve">                                                                                </w:t>
      </w:r>
    </w:p>
    <w:p w14:paraId="21BE433F">
      <w:pPr>
        <w:outlineLvl w:val="9"/>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sz w:val="28"/>
          <w:szCs w:val="28"/>
          <w:lang w:val="en-US" w:eastAsia="zh-CN"/>
        </w:rPr>
        <w:t>必要时，对以上终止评审情况给予补充说明。</w:t>
      </w:r>
    </w:p>
    <w:p w14:paraId="6246CAF2">
      <w:pPr>
        <w:outlineLvl w:val="9"/>
        <w:rPr>
          <w:rFonts w:hint="default" w:ascii="Times New Roman" w:hAnsi="Times New Roman" w:eastAsia="国标宋体" w:cs="Times New Roman"/>
          <w:color w:val="auto"/>
          <w:sz w:val="28"/>
          <w:szCs w:val="28"/>
          <w:lang w:val="en-US" w:eastAsia="zh-CN"/>
        </w:rPr>
      </w:pPr>
    </w:p>
    <w:p w14:paraId="4E4CAE21">
      <w:pPr>
        <w:outlineLvl w:val="9"/>
        <w:rPr>
          <w:rFonts w:hint="default" w:ascii="Times New Roman" w:hAnsi="Times New Roman" w:eastAsia="国标宋体" w:cs="Times New Roman"/>
          <w:color w:val="auto"/>
          <w:sz w:val="28"/>
          <w:szCs w:val="28"/>
          <w:lang w:val="en-US" w:eastAsia="zh-CN"/>
        </w:rPr>
      </w:pPr>
    </w:p>
    <w:p w14:paraId="3FB04D8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sz w:val="28"/>
          <w:szCs w:val="28"/>
        </w:rPr>
        <w:t>签字确认</w:t>
      </w:r>
    </w:p>
    <w:p w14:paraId="682E86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评审组长签字：______________</w:t>
      </w:r>
    </w:p>
    <w:p w14:paraId="5C22EE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评审组成员签字：______________　______________　______________</w:t>
      </w:r>
    </w:p>
    <w:p w14:paraId="43C48B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申请单位代表意见：</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认可上述事实与结论</w:t>
      </w:r>
      <w:r>
        <w:rPr>
          <w:rFonts w:hint="eastAsia" w:eastAsia="国标宋体" w:cs="Times New Roman"/>
          <w:color w:val="auto"/>
          <w:kern w:val="0"/>
          <w:sz w:val="28"/>
          <w:szCs w:val="28"/>
          <w:lang w:val="en-US" w:eastAsia="zh-CN" w:bidi="ar"/>
        </w:rPr>
        <w:t>□</w:t>
      </w:r>
      <w:r>
        <w:rPr>
          <w:rFonts w:hint="default" w:ascii="Times New Roman" w:hAnsi="Times New Roman" w:eastAsia="国标宋体" w:cs="Times New Roman"/>
          <w:color w:val="auto"/>
          <w:kern w:val="0"/>
          <w:sz w:val="28"/>
          <w:szCs w:val="28"/>
          <w:lang w:val="en-US" w:eastAsia="zh-CN" w:bidi="ar"/>
        </w:rPr>
        <w:t>不认可，理由：_______________________________________________________________________________________________________________</w:t>
      </w:r>
    </w:p>
    <w:p w14:paraId="136C85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申请单位代表签字：______________</w:t>
      </w:r>
    </w:p>
    <w:p w14:paraId="6F1FDA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kern w:val="0"/>
          <w:sz w:val="28"/>
          <w:szCs w:val="28"/>
          <w:lang w:val="en-US" w:eastAsia="zh-CN" w:bidi="ar"/>
        </w:rPr>
      </w:pPr>
      <w:r>
        <w:rPr>
          <w:rFonts w:hint="default" w:ascii="Times New Roman" w:hAnsi="Times New Roman" w:eastAsia="国标宋体" w:cs="Times New Roman"/>
          <w:color w:val="auto"/>
          <w:kern w:val="0"/>
          <w:sz w:val="28"/>
          <w:szCs w:val="28"/>
          <w:lang w:val="en-US" w:eastAsia="zh-CN" w:bidi="ar"/>
        </w:rPr>
        <w:t>属地特种设备安全监督管理部门签字：______________</w:t>
      </w:r>
    </w:p>
    <w:p w14:paraId="529D28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Times New Roman" w:hAnsi="Times New Roman" w:eastAsia="国标宋体" w:cs="Times New Roman"/>
          <w:color w:val="auto"/>
          <w:sz w:val="28"/>
          <w:szCs w:val="28"/>
        </w:rPr>
      </w:pPr>
      <w:r>
        <w:rPr>
          <w:rFonts w:hint="default" w:ascii="Times New Roman" w:hAnsi="Times New Roman" w:eastAsia="国标宋体" w:cs="Times New Roman"/>
          <w:color w:val="auto"/>
          <w:kern w:val="0"/>
          <w:sz w:val="28"/>
          <w:szCs w:val="28"/>
          <w:lang w:val="en-US" w:eastAsia="zh-CN" w:bidi="ar"/>
        </w:rPr>
        <w:t>（申请单位拒绝签字的，由评审组注明：评审组已当场告知，申请单位拒绝签字。）</w:t>
      </w:r>
    </w:p>
    <w:p w14:paraId="67E60EBA">
      <w:pPr>
        <w:rPr>
          <w:rFonts w:hint="default" w:ascii="Times New Roman" w:hAnsi="Times New Roman" w:eastAsia="国标宋体" w:cs="Times New Roman"/>
          <w:color w:val="auto"/>
          <w:sz w:val="28"/>
          <w:szCs w:val="28"/>
          <w:lang w:val="en-US" w:eastAsia="zh-CN"/>
        </w:rPr>
      </w:pPr>
      <w:r>
        <w:rPr>
          <w:rFonts w:hint="default" w:ascii="Times New Roman" w:hAnsi="Times New Roman" w:eastAsia="国标宋体" w:cs="Times New Roman"/>
          <w:color w:val="auto"/>
          <w:kern w:val="0"/>
          <w:sz w:val="28"/>
          <w:szCs w:val="28"/>
          <w:lang w:val="en-US" w:eastAsia="zh-CN" w:bidi="ar"/>
        </w:rPr>
        <w:t>日期：______年____月____日</w:t>
      </w:r>
    </w:p>
    <w:sectPr>
      <w:pgSz w:w="11906" w:h="16838"/>
      <w:pgMar w:top="1440" w:right="1080" w:bottom="1440" w:left="1080" w:header="851" w:footer="992" w:gutter="0"/>
      <w:pgBorders>
        <w:top w:val="none" w:sz="0" w:space="0"/>
        <w:left w:val="none" w:sz="0" w:space="0"/>
        <w:bottom w:val="none" w:sz="0" w:space="0"/>
        <w:right w:val="none" w:sz="0" w:space="0"/>
      </w:pgBorders>
      <w:pgNumType w:fmt="decimal"/>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国标宋体">
    <w:panose1 w:val="02000500000000000000"/>
    <w:charset w:val="86"/>
    <w:family w:val="auto"/>
    <w:pitch w:val="default"/>
    <w:sig w:usb0="00000001" w:usb1="28000000" w:usb2="00000000" w:usb3="00000000" w:csb0="00060007" w:csb1="00000000"/>
  </w:font>
  <w:font w:name="仿宋">
    <w:altName w:val="方正仿宋_GBK"/>
    <w:panose1 w:val="02010609060101010101"/>
    <w:charset w:val="86"/>
    <w:family w:val="roma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Times NR MT Pro Medium">
    <w:panose1 w:val="02010600010101010101"/>
    <w:charset w:val="86"/>
    <w:family w:val="auto"/>
    <w:pitch w:val="default"/>
    <w:sig w:usb0="00000001" w:usb1="080E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2BA80">
    <w:pPr>
      <w:spacing w:line="230" w:lineRule="auto"/>
      <w:ind w:right="3"/>
      <w:rPr>
        <w:rFonts w:ascii="仿宋" w:hAnsi="仿宋" w:eastAsia="仿宋" w:cs="仿宋"/>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BEF8D">
    <w:pPr>
      <w:pStyle w:val="8"/>
      <w:jc w:val="center"/>
    </w:pPr>
    <w:r>
      <w:t xml:space="preserve">第 </w:t>
    </w:r>
    <w:r>
      <w:fldChar w:fldCharType="begin"/>
    </w:r>
    <w:r>
      <w:instrText xml:space="preserve"> PAGE  \* MERGEFORMAT </w:instrText>
    </w:r>
    <w:r>
      <w:fldChar w:fldCharType="separate"/>
    </w:r>
    <w:r>
      <w:t>1</w:t>
    </w:r>
    <w:r>
      <w:fldChar w:fldCharType="end"/>
    </w:r>
    <w:r>
      <w:t xml:space="preserve"> 页</w:t>
    </w:r>
  </w:p>
  <w:p w14:paraId="6DDCE42C">
    <w:pPr>
      <w:spacing w:line="230" w:lineRule="auto"/>
      <w:ind w:right="3"/>
      <w:jc w:val="right"/>
      <w:rPr>
        <w:rFonts w:ascii="仿宋" w:hAnsi="仿宋" w:eastAsia="仿宋" w:cs="仿宋"/>
        <w:sz w:val="17"/>
        <w:szCs w:val="17"/>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47F5C3C6">
      <w:pPr>
        <w:pStyle w:val="11"/>
        <w:snapToGrid w:val="0"/>
      </w:pPr>
      <w:r>
        <w:rPr>
          <w:rFonts w:hint="eastAsia"/>
          <w:vertAlign w:val="baseline"/>
          <w:lang w:eastAsia="zh-CN"/>
        </w:rPr>
        <w:t>注</w:t>
      </w:r>
      <w:r>
        <w:rPr>
          <w:rStyle w:val="19"/>
          <w:vertAlign w:val="baseline"/>
        </w:rPr>
        <w:footnoteRef/>
      </w:r>
      <w:r>
        <w:rPr>
          <w:vertAlign w:val="baseline"/>
        </w:rPr>
        <w:t xml:space="preserve"> </w:t>
      </w:r>
      <w:r>
        <w:rPr>
          <w:rStyle w:val="19"/>
          <w:rFonts w:hint="default" w:eastAsia="宋体" w:cs="Times New Roman"/>
          <w:color w:val="auto"/>
          <w:spacing w:val="0"/>
          <w:sz w:val="28"/>
          <w:szCs w:val="28"/>
          <w:vertAlign w:val="baseline"/>
          <w:lang w:val="en-US" w:eastAsia="zh-CN"/>
        </w:rPr>
        <w:t>退休人员可以从事相应的检验工作，但不能作为核准的资源条件</w:t>
      </w:r>
      <w:r>
        <w:rPr>
          <w:rStyle w:val="19"/>
          <w:rFonts w:hint="default" w:ascii="Times New Roman" w:hAnsi="Times New Roman" w:eastAsia="宋体" w:cs="Times New Roman"/>
          <w:color w:val="auto"/>
          <w:kern w:val="0"/>
          <w:sz w:val="28"/>
          <w:szCs w:val="28"/>
          <w:vertAlign w:val="baseline"/>
          <w:lang w:val="en-US" w:eastAsia="zh-CN" w:bidi="ar"/>
        </w:rPr>
        <w:t>。</w:t>
      </w:r>
    </w:p>
  </w:footnote>
  <w:footnote w:id="1">
    <w:p w14:paraId="6B4E3C62">
      <w:pPr>
        <w:pStyle w:val="11"/>
        <w:snapToGrid w:val="0"/>
        <w:rPr>
          <w:szCs w:val="18"/>
        </w:rPr>
      </w:pPr>
      <w:r>
        <w:rPr>
          <w:rFonts w:hint="default" w:ascii="Times New Roman" w:hAnsi="Times New Roman" w:eastAsia="宋体" w:cs="Times New Roman"/>
          <w:color w:val="auto"/>
          <w:kern w:val="0"/>
          <w:sz w:val="18"/>
          <w:szCs w:val="18"/>
          <w:lang w:val="en-US" w:eastAsia="zh-CN"/>
        </w:rPr>
        <w:t>注</w:t>
      </w:r>
      <w:r>
        <w:rPr>
          <w:rStyle w:val="19"/>
          <w:color w:val="auto"/>
          <w:szCs w:val="18"/>
          <w:vertAlign w:val="baseline"/>
        </w:rPr>
        <w:footnoteRef/>
      </w:r>
      <w:r>
        <w:rPr>
          <w:color w:val="auto"/>
          <w:szCs w:val="18"/>
        </w:rPr>
        <w:t xml:space="preserve"> </w:t>
      </w:r>
      <w:r>
        <w:rPr>
          <w:rFonts w:hint="default" w:ascii="Times New Roman" w:hAnsi="Times New Roman" w:eastAsia="宋体" w:cs="Times New Roman"/>
          <w:color w:val="auto"/>
          <w:kern w:val="0"/>
          <w:sz w:val="18"/>
          <w:szCs w:val="18"/>
          <w:lang w:val="en-US" w:eastAsia="zh-CN"/>
        </w:rPr>
        <w:t>：①根据《特种设备检验机构核准规则》规定，鉴定评审工作</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含整改时间</w:t>
      </w:r>
      <w:r>
        <w:rPr>
          <w:rFonts w:hint="eastAsia" w:eastAsia="宋体" w:cs="Times New Roman"/>
          <w:color w:val="auto"/>
          <w:kern w:val="0"/>
          <w:sz w:val="18"/>
          <w:szCs w:val="18"/>
          <w:lang w:val="en-US" w:eastAsia="zh-CN"/>
        </w:rPr>
        <w:t>）</w:t>
      </w:r>
      <w:r>
        <w:rPr>
          <w:rFonts w:hint="default" w:ascii="Times New Roman" w:hAnsi="Times New Roman" w:eastAsia="宋体" w:cs="Times New Roman"/>
          <w:color w:val="auto"/>
          <w:kern w:val="0"/>
          <w:sz w:val="18"/>
          <w:szCs w:val="18"/>
          <w:lang w:val="en-US" w:eastAsia="zh-CN"/>
        </w:rPr>
        <w:t>应当自受理决定书签发之日起1年内完成。</w:t>
      </w:r>
    </w:p>
  </w:footnote>
  <w:footnote w:id="2">
    <w:p w14:paraId="7D3A843B">
      <w:pPr>
        <w:pStyle w:val="11"/>
        <w:snapToGrid w:val="0"/>
        <w:rPr>
          <w:rFonts w:eastAsia="宋体"/>
          <w:color w:val="auto"/>
          <w:szCs w:val="18"/>
        </w:rPr>
      </w:pPr>
      <w:r>
        <w:rPr>
          <w:rFonts w:hint="default" w:eastAsia="宋体"/>
          <w:color w:val="auto"/>
          <w:szCs w:val="18"/>
          <w:lang w:eastAsia="zh-CN"/>
        </w:rPr>
        <w:t>注</w:t>
      </w:r>
      <w:r>
        <w:rPr>
          <w:rStyle w:val="15"/>
          <w:rFonts w:ascii="Times New Roman" w:hAnsi="Times New Roman" w:eastAsia="宋体" w:cs="Times New Roman"/>
          <w:color w:val="auto"/>
          <w:szCs w:val="18"/>
        </w:rPr>
        <w:footnoteRef/>
      </w:r>
      <w:r>
        <w:rPr>
          <w:rFonts w:eastAsia="宋体"/>
          <w:color w:val="auto"/>
          <w:szCs w:val="18"/>
        </w:rPr>
        <w:t xml:space="preserve"> </w:t>
      </w:r>
      <w:r>
        <w:rPr>
          <w:rFonts w:hint="default" w:eastAsia="宋体"/>
          <w:color w:val="auto"/>
          <w:szCs w:val="18"/>
        </w:rPr>
        <w:t>申请甲类检验机构B1级RD6项目的检验机构自身从事无损检测工作时，至少应配置2名持有特种设备安全监督管理部门颁发的不低于Ⅱ级的相应项目无损检测资格证书的人员。无损检测外委时，检验机构至少应配置1名持有特种设备安全监督管理部门颁发的不低于Ⅱ级的无损检测资格证书的人员。</w:t>
      </w:r>
    </w:p>
  </w:footnote>
  <w:footnote w:id="3">
    <w:p w14:paraId="1C35313B">
      <w:pPr>
        <w:pStyle w:val="11"/>
        <w:keepNext w:val="0"/>
        <w:keepLines w:val="0"/>
        <w:widowControl/>
        <w:suppressLineNumbers w:val="0"/>
        <w:snapToGrid w:val="0"/>
        <w:jc w:val="left"/>
        <w:rPr>
          <w:rFonts w:hint="default" w:ascii="Times New Roman" w:hAnsi="Times New Roman" w:eastAsia="宋体" w:cs="Times New Roman"/>
          <w:b w:val="0"/>
          <w:bCs w:val="0"/>
          <w:color w:val="auto"/>
          <w:szCs w:val="18"/>
          <w:lang w:bidi="ar"/>
        </w:rPr>
      </w:pPr>
      <w:r>
        <w:rPr>
          <w:rFonts w:hint="default" w:ascii="Times New Roman" w:hAnsi="Times New Roman" w:eastAsia="宋体" w:cs="Times New Roman"/>
          <w:color w:val="auto"/>
          <w:szCs w:val="18"/>
          <w:lang w:eastAsia="zh-CN"/>
        </w:rPr>
        <w:t>注</w:t>
      </w:r>
      <w:r>
        <w:rPr>
          <w:rStyle w:val="15"/>
          <w:rFonts w:ascii="Times New Roman" w:hAnsi="Times New Roman" w:eastAsia="宋体" w:cs="Times New Roman"/>
          <w:color w:val="auto"/>
          <w:szCs w:val="18"/>
        </w:rPr>
        <w:footnoteRef/>
      </w:r>
      <w:r>
        <w:rPr>
          <w:rFonts w:ascii="Times New Roman" w:hAnsi="Times New Roman" w:eastAsia="宋体" w:cs="Times New Roman"/>
          <w:color w:val="auto"/>
          <w:szCs w:val="18"/>
        </w:rPr>
        <w:t xml:space="preserve"> </w:t>
      </w:r>
      <w:r>
        <w:rPr>
          <w:rFonts w:hint="eastAsia" w:ascii="Times New Roman" w:hAnsi="Times New Roman" w:eastAsia="宋体" w:cs="Times New Roman"/>
          <w:color w:val="auto"/>
          <w:szCs w:val="18"/>
          <w:lang w:eastAsia="zh-CN"/>
        </w:rPr>
        <w:t>：</w:t>
      </w:r>
      <w:r>
        <w:rPr>
          <w:rFonts w:hint="default" w:ascii="Times New Roman" w:hAnsi="Times New Roman" w:eastAsia="宋体" w:cs="Times New Roman"/>
          <w:b w:val="0"/>
          <w:bCs w:val="0"/>
          <w:color w:val="auto"/>
          <w:szCs w:val="18"/>
          <w:lang w:bidi="ar"/>
        </w:rPr>
        <w:t>承压类基本配置包括测厚仪4台、光谱仪1台、视频内窥镜1台、便携式硬度计1台、便携式金相仪</w:t>
      </w:r>
      <w:r>
        <w:rPr>
          <w:rFonts w:hint="eastAsia" w:ascii="Times New Roman" w:hAnsi="Times New Roman" w:eastAsia="宋体" w:cs="Times New Roman"/>
          <w:b w:val="0"/>
          <w:bCs w:val="0"/>
          <w:color w:val="auto"/>
          <w:szCs w:val="18"/>
          <w:lang w:eastAsia="zh-CN" w:bidi="ar"/>
        </w:rPr>
        <w:t>（</w:t>
      </w:r>
      <w:r>
        <w:rPr>
          <w:rFonts w:hint="default" w:ascii="Times New Roman" w:hAnsi="Times New Roman" w:eastAsia="宋体" w:cs="Times New Roman"/>
          <w:b w:val="0"/>
          <w:bCs w:val="0"/>
          <w:color w:val="auto"/>
          <w:szCs w:val="18"/>
          <w:lang w:bidi="ar"/>
        </w:rPr>
        <w:t>具有数码图像处理功能</w:t>
      </w:r>
      <w:r>
        <w:rPr>
          <w:rFonts w:hint="eastAsia" w:ascii="Times New Roman" w:hAnsi="Times New Roman" w:eastAsia="宋体" w:cs="Times New Roman"/>
          <w:b w:val="0"/>
          <w:bCs w:val="0"/>
          <w:color w:val="auto"/>
          <w:szCs w:val="18"/>
          <w:lang w:eastAsia="zh-CN" w:bidi="ar"/>
        </w:rPr>
        <w:t>）</w:t>
      </w:r>
      <w:r>
        <w:rPr>
          <w:rFonts w:hint="default" w:ascii="Times New Roman" w:hAnsi="Times New Roman" w:eastAsia="宋体" w:cs="Times New Roman"/>
          <w:b w:val="0"/>
          <w:bCs w:val="0"/>
          <w:color w:val="auto"/>
          <w:szCs w:val="18"/>
          <w:lang w:bidi="ar"/>
        </w:rPr>
        <w:t>1台、射线探伤装置2台、数字式超声探伤仪2台、磁粉检测仪4台，以及满足检验检测及防护要求的观片灯、标准试块、对比试块、报警设备、黑度计等。</w:t>
      </w:r>
    </w:p>
    <w:p w14:paraId="454E829E">
      <w:pPr>
        <w:pStyle w:val="11"/>
        <w:snapToGrid w:val="0"/>
        <w:rPr>
          <w:rFonts w:eastAsia="宋体"/>
          <w:color w:val="auto"/>
          <w:szCs w:val="18"/>
        </w:rPr>
      </w:pPr>
      <w:r>
        <w:rPr>
          <w:rFonts w:hint="default" w:ascii="Times New Roman" w:hAnsi="Times New Roman" w:eastAsia="宋体" w:cs="Times New Roman"/>
          <w:b w:val="0"/>
          <w:bCs w:val="0"/>
          <w:color w:val="auto"/>
          <w:szCs w:val="18"/>
          <w:lang w:bidi="ar"/>
        </w:rPr>
        <w:t>机电类基本配置中</w:t>
      </w:r>
      <w:r>
        <w:rPr>
          <w:rFonts w:hint="default" w:ascii="Times New Roman" w:hAnsi="Times New Roman" w:eastAsia="宋体" w:cs="Times New Roman"/>
          <w:b w:val="0"/>
          <w:bCs w:val="0"/>
          <w:color w:val="auto"/>
          <w:szCs w:val="18"/>
          <w:lang w:bidi="ar"/>
        </w:rPr>
        <w:fldChar w:fldCharType="begin"/>
      </w:r>
      <w:r>
        <w:rPr>
          <w:rFonts w:hint="default" w:ascii="Times New Roman" w:hAnsi="Times New Roman" w:eastAsia="宋体" w:cs="Times New Roman"/>
          <w:b w:val="0"/>
          <w:bCs w:val="0"/>
          <w:color w:val="auto"/>
          <w:szCs w:val="18"/>
          <w:lang w:bidi="ar"/>
        </w:rPr>
        <w:instrText xml:space="preserve"> = 1 \* ROMAN \* MERGEFORMAT </w:instrText>
      </w:r>
      <w:r>
        <w:rPr>
          <w:rFonts w:hint="default" w:ascii="Times New Roman" w:hAnsi="Times New Roman" w:eastAsia="宋体" w:cs="Times New Roman"/>
          <w:b w:val="0"/>
          <w:bCs w:val="0"/>
          <w:color w:val="auto"/>
          <w:szCs w:val="18"/>
          <w:lang w:bidi="ar"/>
        </w:rPr>
        <w:fldChar w:fldCharType="separate"/>
      </w:r>
      <w:r>
        <w:rPr>
          <w:rFonts w:ascii="Times New Roman" w:hAnsi="Times New Roman" w:eastAsia="宋体" w:cs="Times New Roman"/>
          <w:color w:val="auto"/>
          <w:szCs w:val="18"/>
          <w:lang w:bidi="ar"/>
        </w:rPr>
        <w:t>I</w:t>
      </w:r>
      <w:r>
        <w:rPr>
          <w:rFonts w:hint="default" w:ascii="Times New Roman" w:hAnsi="Times New Roman" w:eastAsia="宋体" w:cs="Times New Roman"/>
          <w:b w:val="0"/>
          <w:bCs w:val="0"/>
          <w:color w:val="auto"/>
          <w:szCs w:val="18"/>
          <w:lang w:bidi="ar"/>
        </w:rPr>
        <w:fldChar w:fldCharType="end"/>
      </w:r>
      <w:r>
        <w:rPr>
          <w:rFonts w:hint="default" w:ascii="Times New Roman" w:hAnsi="Times New Roman" w:eastAsia="宋体" w:cs="Times New Roman"/>
          <w:b w:val="0"/>
          <w:bCs w:val="0"/>
          <w:color w:val="auto"/>
          <w:szCs w:val="18"/>
          <w:lang w:bidi="ar"/>
        </w:rPr>
        <w:t>类检验设备包括数字万用表、接地电阻测试仪、绝缘电阻测量仪、转速表或者速度检测仪、便携式激光测距仪、噪声检测仪、测厚仪等;Ⅱ类检验设备包括经纬仪、水准仪、钢丝绳探伤仪、便携式超声波探伤仪、便携式磁粉探伤仪等。</w:t>
      </w:r>
    </w:p>
  </w:footnote>
  <w:footnote w:id="4">
    <w:p w14:paraId="58E9EC70">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eastAsia" w:eastAsia="宋体"/>
          <w:color w:val="auto"/>
          <w:szCs w:val="18"/>
          <w:lang w:eastAsia="zh-CN"/>
        </w:rPr>
        <w:t>注</w:t>
      </w:r>
      <w:r>
        <w:rPr>
          <w:rStyle w:val="15"/>
          <w:rFonts w:eastAsia="宋体"/>
          <w:color w:val="auto"/>
          <w:szCs w:val="18"/>
        </w:rPr>
        <w:footnoteRef/>
      </w:r>
      <w:r>
        <w:rPr>
          <w:rFonts w:eastAsia="宋体"/>
          <w:color w:val="auto"/>
          <w:szCs w:val="18"/>
        </w:rPr>
        <w:t xml:space="preserve"> </w:t>
      </w: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应配置必要的办公设施和通信工具，计算机的数量应满足管理和出具检验报告以及上传检验数据的需要。</w:t>
      </w:r>
    </w:p>
    <w:p w14:paraId="00DE719B">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应建立气瓶检验信息系统</w:t>
      </w:r>
      <w:r>
        <w:rPr>
          <w:rFonts w:hint="default" w:eastAsia="宋体" w:cs="Times New Roman"/>
          <w:color w:val="auto"/>
          <w:spacing w:val="0"/>
          <w:sz w:val="18"/>
          <w:szCs w:val="18"/>
          <w:lang w:val="en-US" w:eastAsia="zh-CN"/>
        </w:rPr>
        <w:t>，</w:t>
      </w:r>
      <w:r>
        <w:rPr>
          <w:rFonts w:hint="default" w:ascii="Times New Roman" w:hAnsi="Times New Roman" w:eastAsia="宋体" w:cs="Times New Roman"/>
          <w:color w:val="auto"/>
          <w:spacing w:val="0"/>
          <w:sz w:val="18"/>
          <w:szCs w:val="18"/>
          <w:lang w:val="en-US" w:eastAsia="zh-CN"/>
        </w:rPr>
        <w:t>对气瓶检验业务进行信息化管理。</w:t>
      </w:r>
    </w:p>
    <w:p w14:paraId="111A57B7">
      <w:pPr>
        <w:pStyle w:val="11"/>
        <w:widowControl/>
        <w:adjustRightInd w:val="0"/>
        <w:snapToGrid w:val="0"/>
        <w:ind w:firstLineChars="200"/>
        <w:jc w:val="left"/>
        <w:rPr>
          <w:rFonts w:hint="default" w:ascii="Times New Roman" w:hAnsi="Times New Roman" w:eastAsia="宋体" w:cs="Times New Roman"/>
          <w:color w:val="auto"/>
          <w:spacing w:val="0"/>
          <w:sz w:val="18"/>
          <w:szCs w:val="18"/>
          <w:lang w:val="en-US" w:eastAsia="zh-CN"/>
        </w:rPr>
      </w:pPr>
      <w:r>
        <w:rPr>
          <w:rFonts w:hint="default" w:eastAsia="宋体"/>
          <w:color w:val="auto"/>
          <w:spacing w:val="0"/>
          <w:sz w:val="18"/>
          <w:szCs w:val="18"/>
          <w:lang w:eastAsia="zh-CN"/>
        </w:rPr>
        <w:t>气瓶检验机构</w:t>
      </w:r>
      <w:r>
        <w:rPr>
          <w:rFonts w:hint="default" w:ascii="Times New Roman" w:hAnsi="Times New Roman" w:eastAsia="宋体" w:cs="Times New Roman"/>
          <w:color w:val="auto"/>
          <w:spacing w:val="0"/>
          <w:sz w:val="18"/>
          <w:szCs w:val="18"/>
          <w:lang w:val="en-US" w:eastAsia="zh-CN"/>
        </w:rPr>
        <w:t>应建立并维护本机构的信息追溯平台，向社会公示检验结果和报废气瓶的消除使用功能结果。</w:t>
      </w:r>
    </w:p>
    <w:p w14:paraId="08B5D907">
      <w:pPr>
        <w:pStyle w:val="11"/>
        <w:widowControl/>
        <w:adjustRightInd w:val="0"/>
        <w:snapToGrid w:val="0"/>
        <w:ind w:firstLineChars="200"/>
        <w:jc w:val="left"/>
        <w:rPr>
          <w:rFonts w:hint="default" w:eastAsia="宋体"/>
          <w:color w:val="auto"/>
          <w:spacing w:val="0"/>
          <w:sz w:val="18"/>
          <w:szCs w:val="18"/>
          <w:lang w:eastAsia="zh-CN"/>
        </w:rPr>
      </w:pPr>
      <w:r>
        <w:rPr>
          <w:rFonts w:hint="default" w:eastAsia="宋体"/>
          <w:color w:val="auto"/>
          <w:spacing w:val="0"/>
          <w:sz w:val="18"/>
          <w:szCs w:val="18"/>
          <w:lang w:eastAsia="zh-CN"/>
        </w:rPr>
        <w:t>气瓶检验机构</w:t>
      </w:r>
      <w:r>
        <w:rPr>
          <w:rFonts w:hint="default" w:eastAsia="宋体"/>
          <w:color w:val="auto"/>
          <w:spacing w:val="0"/>
          <w:sz w:val="18"/>
          <w:szCs w:val="18"/>
          <w:lang w:val="en-US" w:eastAsia="zh-CN"/>
        </w:rPr>
        <w:t>应配备电子识读标志的读写装置，并能够通过电子识读标志实现信息追溯平台上的数据更新。</w:t>
      </w:r>
    </w:p>
  </w:footnote>
  <w:footnote w:id="5">
    <w:p w14:paraId="2F328B42">
      <w:pPr>
        <w:pStyle w:val="11"/>
        <w:widowControl/>
        <w:snapToGrid w:val="0"/>
        <w:rPr>
          <w:rFonts w:eastAsia="宋体"/>
          <w:color w:val="auto"/>
          <w:szCs w:val="18"/>
        </w:rPr>
      </w:pPr>
      <w:r>
        <w:rPr>
          <w:rFonts w:hint="default" w:eastAsia="宋体"/>
          <w:color w:val="auto"/>
          <w:szCs w:val="18"/>
        </w:rPr>
        <w:t>注</w:t>
      </w:r>
      <w:r>
        <w:rPr>
          <w:rFonts w:eastAsia="宋体"/>
          <w:color w:val="auto"/>
          <w:szCs w:val="18"/>
        </w:rPr>
        <w:footnoteRef/>
      </w:r>
      <w:r>
        <w:rPr>
          <w:rFonts w:eastAsia="宋体"/>
          <w:color w:val="auto"/>
          <w:szCs w:val="18"/>
        </w:rPr>
        <w:t xml:space="preserve"> </w:t>
      </w:r>
      <w:r>
        <w:rPr>
          <w:rFonts w:hint="default" w:eastAsia="宋体"/>
          <w:color w:val="auto"/>
          <w:szCs w:val="18"/>
        </w:rPr>
        <w:t>采用采信能力验证参与检验能力审查的</w:t>
      </w:r>
      <w:r>
        <w:rPr>
          <w:rFonts w:hint="default" w:eastAsia="宋体"/>
          <w:color w:val="auto"/>
          <w:szCs w:val="18"/>
          <w:lang w:eastAsia="zh-CN"/>
        </w:rPr>
        <w:t>申请单位，应当</w:t>
      </w:r>
      <w:r>
        <w:rPr>
          <w:rFonts w:hint="default" w:eastAsia="宋体"/>
          <w:color w:val="auto"/>
          <w:szCs w:val="18"/>
        </w:rPr>
        <w:t>在现场鉴定评审前完成申请项目的采信能力验证工作，出具采信能力验证报告的机构应当为</w:t>
      </w:r>
      <w:r>
        <w:rPr>
          <w:rFonts w:hint="default" w:eastAsia="宋体"/>
          <w:color w:val="auto"/>
          <w:szCs w:val="18"/>
          <w:lang w:val="en-US" w:eastAsia="zh-CN"/>
        </w:rPr>
        <w:t>具有行业公信力的</w:t>
      </w:r>
      <w:r>
        <w:rPr>
          <w:rFonts w:hint="default" w:eastAsia="宋体"/>
          <w:color w:val="auto"/>
          <w:szCs w:val="18"/>
        </w:rPr>
        <w:t>特种设备检验</w:t>
      </w:r>
      <w:r>
        <w:rPr>
          <w:rFonts w:hint="default" w:eastAsia="宋体"/>
          <w:color w:val="auto"/>
          <w:szCs w:val="18"/>
          <w:lang w:val="en-US" w:eastAsia="zh-CN"/>
        </w:rPr>
        <w:t>检测</w:t>
      </w:r>
      <w:r>
        <w:rPr>
          <w:rFonts w:hint="default" w:eastAsia="宋体"/>
          <w:color w:val="auto"/>
          <w:szCs w:val="18"/>
        </w:rPr>
        <w:t>机构。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454623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146B377C">
          <w:pPr>
            <w:pStyle w:val="8"/>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4E78DD80">
          <w:pPr>
            <w:pStyle w:val="8"/>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339AC0AB">
          <w:pPr>
            <w:pStyle w:val="8"/>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3AA03435">
          <w:pPr>
            <w:pStyle w:val="8"/>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29DE3A89">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7A7C6C3E">
          <w:pPr>
            <w:pStyle w:val="8"/>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JPZN</w:t>
          </w:r>
          <w:r>
            <w:rPr>
              <w:rFonts w:hint="eastAsia" w:eastAsia="仿宋" w:cs="Times New Roman"/>
              <w:sz w:val="21"/>
              <w:szCs w:val="21"/>
              <w:lang w:val="en-US" w:eastAsia="zh-CN"/>
            </w:rPr>
            <w:t>—</w:t>
          </w:r>
          <w:r>
            <w:rPr>
              <w:rFonts w:hint="default" w:eastAsia="仿宋"/>
              <w:sz w:val="21"/>
              <w:szCs w:val="21"/>
            </w:rPr>
            <w:t>TZJY</w:t>
          </w:r>
          <w:r>
            <w:rPr>
              <w:rFonts w:hint="eastAsia" w:eastAsia="仿宋" w:cs="Times New Roman"/>
              <w:sz w:val="21"/>
              <w:szCs w:val="21"/>
              <w:lang w:val="en-US" w:eastAsia="zh-CN"/>
            </w:rPr>
            <w:t>（A1）—</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38154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3C2C8D20">
          <w:pPr>
            <w:pStyle w:val="9"/>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26DEDFD3">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3A1B4117">
          <w:pPr>
            <w:pStyle w:val="8"/>
            <w:snapToGrid/>
            <w:ind w:left="-60" w:leftChars="-25" w:right="-60" w:rightChars="-25"/>
            <w:jc w:val="center"/>
            <w:rPr>
              <w:rFonts w:hint="eastAsia" w:ascii="宋体" w:hAnsi="宋体" w:eastAsia="宋体" w:cs="宋体"/>
              <w:bCs/>
              <w:sz w:val="21"/>
              <w:szCs w:val="21"/>
              <w:lang w:val="en-US" w:eastAsia="zh-CN"/>
            </w:rPr>
          </w:pPr>
        </w:p>
      </w:tc>
      <w:tc>
        <w:tcPr>
          <w:tcW w:w="1582" w:type="dxa"/>
          <w:tcBorders>
            <w:tl2br w:val="nil"/>
            <w:tr2bl w:val="nil"/>
          </w:tcBorders>
          <w:noWrap w:val="0"/>
          <w:vAlign w:val="center"/>
        </w:tcPr>
        <w:p w14:paraId="63DCB3BD">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69248867">
          <w:pPr>
            <w:pStyle w:val="8"/>
            <w:snapToGrid/>
            <w:ind w:left="-60" w:leftChars="-25" w:right="-60" w:rightChars="-25"/>
            <w:jc w:val="center"/>
            <w:rPr>
              <w:rFonts w:hint="eastAsia" w:ascii="宋体" w:hAnsi="宋体" w:eastAsia="宋体" w:cs="宋体"/>
              <w:bCs/>
              <w:sz w:val="21"/>
              <w:szCs w:val="21"/>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margin">
                      <wp:posOffset>566420</wp:posOffset>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0E1B1">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kern w:val="0"/>
                                    <w:sz w:val="21"/>
                                    <w:szCs w:val="21"/>
                                    <w:lang w:val="en-US" w:eastAsia="zh-CN"/>
                                  </w:rPr>
                                </w:pPr>
                                <w:r>
                                  <w:rPr>
                                    <w:rFonts w:hint="eastAsia" w:ascii="仿宋" w:hAnsi="仿宋" w:eastAsia="仿宋" w:cs="仿宋"/>
                                    <w:b w:val="0"/>
                                    <w:bCs w:val="0"/>
                                    <w:kern w:val="0"/>
                                    <w:sz w:val="21"/>
                                    <w:szCs w:val="21"/>
                                    <w:lang w:val="en-US" w:eastAsia="zh-CN"/>
                                  </w:rPr>
                                  <w:t>页码：— / 50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6pt;margin-top:0pt;height:144pt;width:144pt;mso-position-horizontal-relative:margin;mso-wrap-style:none;z-index:251692032;mso-width-relative:page;mso-height-relative:page;" filled="f" stroked="f" coordsize="21600,21600" o:gfxdata="UEsDBAoAAAAAAIdO4kAAAAAAAAAAAAAAAAAEAAAAZHJzL1BLAwQUAAAACACHTuJAzgaVl9QAAAAH&#10;AQAADwAAAGRycy9kb3ducmV2LnhtbE2PwU7DMBBE70j8g7VI3KjdFNEQsqlERTgi0XDg6MZLEojt&#10;yHbT8PcsJziOZjTzptwtdhQzhTh4h7BeKRDkWm8G1yG8NfVNDiIm7YwevSOEb4qwqy4vSl0Yf3av&#10;NB9SJ7jExUIj9ClNhZSx7cnquPITOfY+fLA6sQydNEGfudyOMlPqTlo9OF7o9UT7ntqvw8ki7Oum&#10;CTPFML7Tc735fHm8pacF8fpqrR5AJFrSXxh+8RkdKmY6+pMzUYwI+X3GSQQ+xO5mu2V5RMjyXIGs&#10;Svmfv/oBUEsDBBQAAAAIAIdO4kDrADh6MQIAAGMEAAAOAAAAZHJzL2Uyb0RvYy54bWytVEuOEzEQ&#10;3SNxB8t70kkQoyhKZxQmCkKKmJECYu243WlL/sl20h0OADdgxYY958o5eO5PBg0sZsHGXXaVX9V7&#10;Ve7FbaMVOQkfpDU5nYzGlAjDbSHNIaefPm5ezSgJkZmCKWtETs8i0NvlyxeL2s3F1FZWFcITgJgw&#10;r11OqxjdPMsCr4RmYWSdMHCW1msWsfWHrPCsBrpW2XQ8vslq6wvnLRch4HTdOWmP6J8DaMtScrG2&#10;/KiFiR2qF4pFUAqVdIEu22rLUvB4X5ZBRKJyCqaxXZEE9j6t2XLB5gfPXCV5XwJ7TglPOGkmDZJe&#10;odYsMnL08i8oLbm3wZZxxK3OOiKtImAxGT/RZlcxJ1oukDq4q+jh/8HyD6cHT2SBSZhQYphGxy/f&#10;v11+/Lr8/EpwBoFqF+aI2zlExuatbRA8nAccJt5N6XX6ghGBH/Ker/KKJhKeLs2ms9kYLg7fsAF+&#10;9njd+RDfCatJMnLq0b9WVnbahtiFDiEpm7EbqVTbQ2VIndOb12/G7YWrB+DKIEci0RWbrNjsm57Z&#10;3hZnEPO2m43g+EYi+ZaF+MA8hgEF47nEeyylskhie4uSyvov/zpP8egRvJTUGK6cGrwlStR7g94B&#10;MA6GH4z9YJijvrOYVrQDtbQmLvioBrP0Vn/GG1qlHHAxw5Epp3Ew72I34HiDXKxWbdDReXmouguY&#10;PMfi1uwcT2mSkMGtjhFithongTpVet0we22X+neShvvPfRv1+G9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OBpWX1AAAAAcBAAAPAAAAAAAAAAEAIAAAACIAAABkcnMvZG93bnJldi54bWxQSwEC&#10;FAAUAAAACACHTuJA6wA4ejECAABjBAAADgAAAAAAAAABACAAAAAjAQAAZHJzL2Uyb0RvYy54bWxQ&#10;SwUGAAAAAAYABgBZAQAAxgUAAAAA&#10;">
                    <v:fill on="f" focussize="0,0"/>
                    <v:stroke on="f" weight="0.5pt"/>
                    <v:imagedata o:title=""/>
                    <o:lock v:ext="edit" aspectratio="f"/>
                    <v:textbox inset="0mm,0mm,0mm,0mm" style="mso-fit-shape-to-text:t;">
                      <w:txbxContent>
                        <w:p w14:paraId="3270E1B1">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kern w:val="0"/>
                              <w:sz w:val="21"/>
                              <w:szCs w:val="21"/>
                              <w:lang w:val="en-US" w:eastAsia="zh-CN"/>
                            </w:rPr>
                          </w:pPr>
                          <w:r>
                            <w:rPr>
                              <w:rFonts w:hint="eastAsia" w:ascii="仿宋" w:hAnsi="仿宋" w:eastAsia="仿宋" w:cs="仿宋"/>
                              <w:b w:val="0"/>
                              <w:bCs w:val="0"/>
                              <w:kern w:val="0"/>
                              <w:sz w:val="21"/>
                              <w:szCs w:val="21"/>
                              <w:lang w:val="en-US" w:eastAsia="zh-CN"/>
                            </w:rPr>
                            <w:t>页码：— / 50</w:t>
                          </w:r>
                        </w:p>
                      </w:txbxContent>
                    </v:textbox>
                  </v:shape>
                </w:pict>
              </mc:Fallback>
            </mc:AlternateContent>
          </w:r>
        </w:p>
      </w:tc>
    </w:tr>
  </w:tbl>
  <w:p w14:paraId="3DC68249">
    <w:pPr>
      <w:spacing w:line="229" w:lineRule="auto"/>
      <w:rPr>
        <w:rFonts w:ascii="宋体" w:hAnsi="宋体" w:eastAsia="宋体" w:cs="宋体"/>
        <w:sz w:val="17"/>
        <w:szCs w:val="17"/>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3"/>
      <w:tblW w:w="985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80"/>
      <w:gridCol w:w="1670"/>
      <w:gridCol w:w="1670"/>
      <w:gridCol w:w="1582"/>
      <w:gridCol w:w="3150"/>
    </w:tblGrid>
    <w:tr w14:paraId="4C019F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restart"/>
          <w:tcBorders>
            <w:tl2br w:val="nil"/>
            <w:tr2bl w:val="nil"/>
          </w:tcBorders>
          <w:noWrap w:val="0"/>
          <w:vAlign w:val="center"/>
        </w:tcPr>
        <w:p w14:paraId="6F1549DA">
          <w:pPr>
            <w:pStyle w:val="8"/>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四川省质量</w:t>
          </w:r>
        </w:p>
        <w:p w14:paraId="5A13544D">
          <w:pPr>
            <w:pStyle w:val="8"/>
            <w:ind w:left="-60" w:leftChars="-25" w:right="-60" w:rightChars="-25"/>
            <w:jc w:val="center"/>
            <w:rPr>
              <w:rFonts w:hint="eastAsia" w:ascii="宋体" w:hAnsi="宋体" w:eastAsia="宋体" w:cs="宋体"/>
              <w:sz w:val="21"/>
              <w:szCs w:val="21"/>
              <w:u w:val="none"/>
              <w:lang w:val="en-US" w:eastAsia="zh-CN"/>
            </w:rPr>
          </w:pPr>
          <w:r>
            <w:rPr>
              <w:rFonts w:hint="eastAsia" w:ascii="宋体" w:hAnsi="宋体" w:eastAsia="宋体" w:cs="宋体"/>
              <w:bCs/>
              <w:sz w:val="21"/>
              <w:szCs w:val="21"/>
            </w:rPr>
            <w:t>技术审评中心</w:t>
          </w:r>
        </w:p>
      </w:tc>
      <w:tc>
        <w:tcPr>
          <w:tcW w:w="3340" w:type="dxa"/>
          <w:gridSpan w:val="2"/>
          <w:tcBorders>
            <w:tl2br w:val="nil"/>
            <w:tr2bl w:val="nil"/>
          </w:tcBorders>
          <w:noWrap w:val="0"/>
          <w:vAlign w:val="center"/>
        </w:tcPr>
        <w:p w14:paraId="3D0C7BDB">
          <w:pPr>
            <w:pStyle w:val="8"/>
            <w:snapToGrid/>
            <w:ind w:left="-60" w:leftChars="-25" w:right="-60" w:rightChars="-25"/>
            <w:jc w:val="center"/>
            <w:rPr>
              <w:rFonts w:hint="eastAsia" w:ascii="宋体" w:hAnsi="宋体" w:eastAsia="宋体" w:cs="宋体"/>
              <w:bCs/>
              <w:sz w:val="21"/>
              <w:szCs w:val="21"/>
            </w:rPr>
          </w:pPr>
          <w:r>
            <w:rPr>
              <w:rFonts w:hint="eastAsia" w:ascii="宋体" w:hAnsi="宋体" w:eastAsia="宋体" w:cs="宋体"/>
              <w:bCs/>
              <w:sz w:val="21"/>
              <w:szCs w:val="21"/>
            </w:rPr>
            <w:t>四川省特种设备</w:t>
          </w:r>
          <w:r>
            <w:rPr>
              <w:rFonts w:hint="eastAsia" w:ascii="宋体" w:hAnsi="宋体" w:eastAsia="宋体" w:cs="宋体"/>
              <w:bCs/>
              <w:sz w:val="21"/>
              <w:szCs w:val="21"/>
              <w:lang w:val="en-US" w:eastAsia="zh-CN"/>
            </w:rPr>
            <w:t>检验</w:t>
          </w:r>
          <w:r>
            <w:rPr>
              <w:rFonts w:hint="eastAsia" w:ascii="宋体" w:hAnsi="宋体" w:eastAsia="宋体" w:cs="宋体"/>
              <w:bCs/>
              <w:sz w:val="21"/>
              <w:szCs w:val="21"/>
            </w:rPr>
            <w:t>机构核准</w:t>
          </w:r>
        </w:p>
        <w:p w14:paraId="63BF746F">
          <w:pPr>
            <w:pStyle w:val="8"/>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rPr>
            <w:t>鉴定评审指南</w:t>
          </w:r>
        </w:p>
      </w:tc>
      <w:tc>
        <w:tcPr>
          <w:tcW w:w="1582" w:type="dxa"/>
          <w:tcBorders>
            <w:tl2br w:val="nil"/>
            <w:tr2bl w:val="nil"/>
          </w:tcBorders>
          <w:noWrap w:val="0"/>
          <w:vAlign w:val="center"/>
        </w:tcPr>
        <w:p w14:paraId="222A40EC">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文件编号</w:t>
          </w:r>
        </w:p>
      </w:tc>
      <w:tc>
        <w:tcPr>
          <w:tcW w:w="3150" w:type="dxa"/>
          <w:tcBorders>
            <w:tl2br w:val="nil"/>
            <w:tr2bl w:val="nil"/>
          </w:tcBorders>
          <w:noWrap w:val="0"/>
          <w:vAlign w:val="center"/>
        </w:tcPr>
        <w:p w14:paraId="6122A15E">
          <w:pPr>
            <w:pStyle w:val="8"/>
            <w:snapToGrid/>
            <w:ind w:left="-60" w:leftChars="-25" w:right="-60" w:rightChars="-25"/>
            <w:jc w:val="center"/>
            <w:rPr>
              <w:rFonts w:hint="eastAsia" w:ascii="宋体" w:hAnsi="宋体" w:eastAsia="宋体" w:cs="宋体"/>
              <w:bCs/>
              <w:sz w:val="21"/>
              <w:szCs w:val="21"/>
              <w:lang w:val="en-US" w:eastAsia="zh-CN"/>
            </w:rPr>
          </w:pPr>
          <w:r>
            <w:rPr>
              <w:rFonts w:hint="default" w:ascii="Times New Roman" w:hAnsi="Times New Roman" w:eastAsia="仿宋" w:cs="Times New Roman"/>
              <w:sz w:val="21"/>
              <w:szCs w:val="21"/>
              <w:lang w:val="en-US" w:eastAsia="zh-CN"/>
            </w:rPr>
            <w:t>SCIS</w:t>
          </w:r>
          <w:r>
            <w:rPr>
              <w:rFonts w:hint="eastAsia" w:eastAsia="仿宋" w:cs="Times New Roman"/>
              <w:sz w:val="21"/>
              <w:szCs w:val="21"/>
              <w:lang w:val="en-US" w:eastAsia="zh-CN"/>
            </w:rPr>
            <w:t>—</w:t>
          </w:r>
          <w:r>
            <w:rPr>
              <w:rFonts w:hint="default" w:ascii="Times New Roman" w:hAnsi="Times New Roman" w:eastAsia="仿宋" w:cs="Times New Roman"/>
              <w:sz w:val="21"/>
              <w:szCs w:val="21"/>
              <w:lang w:val="en-US" w:eastAsia="zh-CN"/>
            </w:rPr>
            <w:t>JPZN</w:t>
          </w:r>
          <w:r>
            <w:rPr>
              <w:rFonts w:hint="eastAsia" w:eastAsia="仿宋" w:cs="Times New Roman"/>
              <w:sz w:val="21"/>
              <w:szCs w:val="21"/>
              <w:lang w:val="en-US" w:eastAsia="zh-CN"/>
            </w:rPr>
            <w:t>—</w:t>
          </w:r>
          <w:r>
            <w:rPr>
              <w:rFonts w:hint="default" w:eastAsia="仿宋"/>
              <w:sz w:val="21"/>
              <w:szCs w:val="21"/>
            </w:rPr>
            <w:t>TZJY</w:t>
          </w:r>
          <w:r>
            <w:rPr>
              <w:rFonts w:hint="eastAsia" w:eastAsia="仿宋" w:cs="Times New Roman"/>
              <w:sz w:val="21"/>
              <w:szCs w:val="21"/>
              <w:lang w:val="en-US" w:eastAsia="zh-CN"/>
            </w:rPr>
            <w:t>（A1）—</w:t>
          </w:r>
          <w:r>
            <w:rPr>
              <w:rFonts w:hint="default" w:ascii="Times New Roman" w:hAnsi="Times New Roman" w:eastAsia="仿宋" w:cs="Times New Roman"/>
              <w:sz w:val="21"/>
              <w:szCs w:val="21"/>
              <w:lang w:val="en-US" w:eastAsia="zh-CN"/>
            </w:rPr>
            <w:t>202</w:t>
          </w:r>
          <w:r>
            <w:rPr>
              <w:rFonts w:hint="eastAsia" w:eastAsia="仿宋" w:cs="Times New Roman"/>
              <w:sz w:val="21"/>
              <w:szCs w:val="21"/>
              <w:lang w:val="en-US" w:eastAsia="zh-CN"/>
            </w:rPr>
            <w:t>6</w:t>
          </w:r>
        </w:p>
      </w:tc>
    </w:tr>
    <w:tr w14:paraId="43FC72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19" w:hRule="atLeast"/>
        <w:jc w:val="center"/>
      </w:trPr>
      <w:tc>
        <w:tcPr>
          <w:tcW w:w="1780" w:type="dxa"/>
          <w:vMerge w:val="continue"/>
          <w:tcBorders>
            <w:tl2br w:val="nil"/>
            <w:tr2bl w:val="nil"/>
          </w:tcBorders>
          <w:noWrap w:val="0"/>
          <w:vAlign w:val="center"/>
        </w:tcPr>
        <w:p w14:paraId="0143591E">
          <w:pPr>
            <w:pStyle w:val="9"/>
            <w:rPr>
              <w:rFonts w:hint="eastAsia" w:ascii="宋体" w:hAnsi="宋体" w:eastAsia="宋体" w:cs="宋体"/>
              <w:sz w:val="21"/>
              <w:szCs w:val="21"/>
              <w:u w:val="none"/>
              <w:lang w:val="en-US" w:eastAsia="zh-CN"/>
            </w:rPr>
          </w:pPr>
        </w:p>
      </w:tc>
      <w:tc>
        <w:tcPr>
          <w:tcW w:w="1670" w:type="dxa"/>
          <w:tcBorders>
            <w:tl2br w:val="nil"/>
            <w:tr2bl w:val="nil"/>
          </w:tcBorders>
          <w:noWrap w:val="0"/>
          <w:vAlign w:val="center"/>
        </w:tcPr>
        <w:p w14:paraId="6DF54EA8">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实施日期</w:t>
          </w:r>
        </w:p>
      </w:tc>
      <w:tc>
        <w:tcPr>
          <w:tcW w:w="1670" w:type="dxa"/>
          <w:tcBorders>
            <w:tl2br w:val="nil"/>
            <w:tr2bl w:val="nil"/>
          </w:tcBorders>
          <w:noWrap w:val="0"/>
          <w:vAlign w:val="center"/>
        </w:tcPr>
        <w:p w14:paraId="1E4A0BB3">
          <w:pPr>
            <w:pStyle w:val="8"/>
            <w:snapToGrid/>
            <w:ind w:left="-60" w:leftChars="-25" w:right="-60" w:rightChars="-25"/>
            <w:jc w:val="center"/>
            <w:rPr>
              <w:rFonts w:hint="eastAsia" w:ascii="宋体" w:hAnsi="宋体" w:eastAsia="宋体" w:cs="宋体"/>
              <w:bCs/>
              <w:sz w:val="21"/>
              <w:szCs w:val="21"/>
              <w:lang w:val="en-US" w:eastAsia="zh-CN"/>
            </w:rPr>
          </w:pPr>
          <w:bookmarkStart w:id="144" w:name="_GoBack"/>
          <w:bookmarkEnd w:id="144"/>
        </w:p>
      </w:tc>
      <w:tc>
        <w:tcPr>
          <w:tcW w:w="1582" w:type="dxa"/>
          <w:tcBorders>
            <w:tl2br w:val="nil"/>
            <w:tr2bl w:val="nil"/>
          </w:tcBorders>
          <w:noWrap w:val="0"/>
          <w:vAlign w:val="center"/>
        </w:tcPr>
        <w:p w14:paraId="30247DA0">
          <w:pPr>
            <w:pStyle w:val="8"/>
            <w:snapToGrid/>
            <w:ind w:left="-60" w:leftChars="-25" w:right="-60" w:rightChars="-25"/>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版本A/01</w:t>
          </w:r>
        </w:p>
      </w:tc>
      <w:tc>
        <w:tcPr>
          <w:tcW w:w="3150" w:type="dxa"/>
          <w:tcBorders>
            <w:tl2br w:val="nil"/>
            <w:tr2bl w:val="nil"/>
          </w:tcBorders>
          <w:noWrap w:val="0"/>
          <w:vAlign w:val="center"/>
        </w:tcPr>
        <w:p w14:paraId="2F8B919B">
          <w:pPr>
            <w:pStyle w:val="8"/>
            <w:snapToGrid/>
            <w:ind w:left="-60" w:leftChars="-25" w:right="-60" w:rightChars="-25"/>
            <w:jc w:val="center"/>
            <w:rPr>
              <w:rFonts w:hint="eastAsia" w:ascii="宋体" w:hAnsi="宋体" w:eastAsia="宋体" w:cs="宋体"/>
              <w:bCs/>
              <w:sz w:val="21"/>
              <w:szCs w:val="21"/>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margin">
                      <wp:posOffset>566420</wp:posOffset>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4A14F">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kern w:val="0"/>
                                    <w:sz w:val="21"/>
                                    <w:szCs w:val="21"/>
                                    <w:lang w:val="en-US" w:eastAsia="zh-CN"/>
                                  </w:rPr>
                                </w:pPr>
                                <w:r>
                                  <w:rPr>
                                    <w:rFonts w:hint="eastAsia" w:ascii="仿宋" w:hAnsi="仿宋" w:eastAsia="仿宋" w:cs="仿宋"/>
                                    <w:b w:val="0"/>
                                    <w:bCs w:val="0"/>
                                    <w:kern w:val="0"/>
                                    <w:sz w:val="21"/>
                                    <w:szCs w:val="21"/>
                                    <w:lang w:val="en-US" w:eastAsia="zh-CN"/>
                                  </w:rPr>
                                  <w:t>页码：</w:t>
                                </w:r>
                                <w:r>
                                  <w:rPr>
                                    <w:rFonts w:hint="eastAsia" w:ascii="仿宋" w:hAnsi="仿宋" w:eastAsia="仿宋" w:cs="仿宋"/>
                                    <w:b w:val="0"/>
                                    <w:bCs w:val="0"/>
                                    <w:kern w:val="0"/>
                                    <w:sz w:val="21"/>
                                    <w:szCs w:val="21"/>
                                    <w:lang w:val="en-US" w:eastAsia="zh-CN"/>
                                  </w:rPr>
                                  <w:fldChar w:fldCharType="begin"/>
                                </w:r>
                                <w:r>
                                  <w:rPr>
                                    <w:rFonts w:hint="eastAsia" w:ascii="仿宋" w:hAnsi="仿宋" w:eastAsia="仿宋" w:cs="仿宋"/>
                                    <w:b w:val="0"/>
                                    <w:bCs w:val="0"/>
                                    <w:kern w:val="0"/>
                                    <w:sz w:val="21"/>
                                    <w:szCs w:val="21"/>
                                    <w:lang w:val="en-US" w:eastAsia="zh-CN"/>
                                  </w:rPr>
                                  <w:instrText xml:space="preserve"> PAGE  \* MERGEFORMAT </w:instrText>
                                </w:r>
                                <w:r>
                                  <w:rPr>
                                    <w:rFonts w:hint="eastAsia" w:ascii="仿宋" w:hAnsi="仿宋" w:eastAsia="仿宋" w:cs="仿宋"/>
                                    <w:b w:val="0"/>
                                    <w:bCs w:val="0"/>
                                    <w:kern w:val="0"/>
                                    <w:sz w:val="21"/>
                                    <w:szCs w:val="21"/>
                                    <w:lang w:val="en-US" w:eastAsia="zh-CN"/>
                                  </w:rPr>
                                  <w:fldChar w:fldCharType="separate"/>
                                </w:r>
                                <w:r>
                                  <w:rPr>
                                    <w:rFonts w:hint="eastAsia" w:ascii="仿宋" w:hAnsi="仿宋" w:eastAsia="仿宋" w:cs="仿宋"/>
                                    <w:b w:val="0"/>
                                    <w:bCs w:val="0"/>
                                    <w:kern w:val="0"/>
                                    <w:sz w:val="21"/>
                                    <w:szCs w:val="21"/>
                                    <w:lang w:val="en-US" w:eastAsia="zh-CN"/>
                                  </w:rPr>
                                  <w:t>1</w:t>
                                </w:r>
                                <w:r>
                                  <w:rPr>
                                    <w:rFonts w:hint="eastAsia" w:ascii="仿宋" w:hAnsi="仿宋" w:eastAsia="仿宋" w:cs="仿宋"/>
                                    <w:b w:val="0"/>
                                    <w:bCs w:val="0"/>
                                    <w:kern w:val="0"/>
                                    <w:sz w:val="21"/>
                                    <w:szCs w:val="21"/>
                                    <w:lang w:val="en-US" w:eastAsia="zh-CN"/>
                                  </w:rPr>
                                  <w:fldChar w:fldCharType="end"/>
                                </w:r>
                                <w:r>
                                  <w:rPr>
                                    <w:rFonts w:hint="eastAsia" w:ascii="仿宋" w:hAnsi="仿宋" w:eastAsia="仿宋" w:cs="仿宋"/>
                                    <w:b w:val="0"/>
                                    <w:bCs w:val="0"/>
                                    <w:kern w:val="0"/>
                                    <w:sz w:val="21"/>
                                    <w:szCs w:val="21"/>
                                    <w:lang w:val="en-US" w:eastAsia="zh-CN"/>
                                  </w:rPr>
                                  <w:t xml:space="preserve"> / 50</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4.6pt;margin-top:0pt;height:144pt;width:144pt;mso-position-horizontal-relative:margin;mso-wrap-style:none;z-index:251693056;mso-width-relative:page;mso-height-relative:page;" filled="f" stroked="f" coordsize="21600,21600" o:gfxdata="UEsDBAoAAAAAAIdO4kAAAAAAAAAAAAAAAAAEAAAAZHJzL1BLAwQUAAAACACHTuJAzgaVl9QAAAAH&#10;AQAADwAAAGRycy9kb3ducmV2LnhtbE2PwU7DMBBE70j8g7VI3KjdFNEQsqlERTgi0XDg6MZLEojt&#10;yHbT8PcsJziOZjTzptwtdhQzhTh4h7BeKRDkWm8G1yG8NfVNDiIm7YwevSOEb4qwqy4vSl0Yf3av&#10;NB9SJ7jExUIj9ClNhZSx7cnquPITOfY+fLA6sQydNEGfudyOMlPqTlo9OF7o9UT7ntqvw8ki7Oum&#10;CTPFML7Tc735fHm8pacF8fpqrR5AJFrSXxh+8RkdKmY6+pMzUYwI+X3GSQQ+xO5mu2V5RMjyXIGs&#10;Svmfv/oBUEsDBBQAAAAIAIdO4kBs/vGRMQIAAGM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ILdMKUEsM0Kn75&#10;/u3y49fl51eCMwhUuzBH3M4hMjZvbYPg4TzgMPFuSq/TF4wI/JD3fJVXNJHwdGk2nc3GcHH4hg3w&#10;s8frzof4TlhNkpFTj/q1srLTNsQudAhJ2YzdSKXaGipD6pzevH4zbi9cPQBXBjkSie6xyYrNvumZ&#10;7W1xBjFvu94Ijm8kkm9ZiA/MoxnwYIxLvMdSKosktrcoqaz/8q/zFI8awUtJjebKqcEsUaLeG9QO&#10;gHEw/GDsB8Mc9Z1Ft04who63Ji74qAaz9FZ/xgytUg64mOHIlNM4mHexa3DMIBerVRt0dF4equ4C&#10;Os+xuDU7x1OaJGRwq2OEmK3GSaBOlV439F5bpX5OUnP/uW+jHv8N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OBpWX1AAAAAcBAAAPAAAAAAAAAAEAIAAAACIAAABkcnMvZG93bnJldi54bWxQSwEC&#10;FAAUAAAACACHTuJAbP7xkTECAABjBAAADgAAAAAAAAABACAAAAAjAQAAZHJzL2Uyb0RvYy54bWxQ&#10;SwUGAAAAAAYABgBZAQAAxgUAAAAA&#10;">
                    <v:fill on="f" focussize="0,0"/>
                    <v:stroke on="f" weight="0.5pt"/>
                    <v:imagedata o:title=""/>
                    <o:lock v:ext="edit" aspectratio="f"/>
                    <v:textbox inset="0mm,0mm,0mm,0mm" style="mso-fit-shape-to-text:t;">
                      <w:txbxContent>
                        <w:p w14:paraId="7834A14F">
                          <w:pPr>
                            <w:pStyle w:val="9"/>
                            <w:pBdr>
                              <w:top w:val="none" w:color="auto" w:sz="0" w:space="0"/>
                              <w:left w:val="none" w:color="auto" w:sz="0" w:space="0"/>
                              <w:bottom w:val="none" w:color="auto" w:sz="0" w:space="1"/>
                              <w:right w:val="none" w:color="auto" w:sz="0" w:space="0"/>
                              <w:between w:val="none" w:color="auto" w:sz="0" w:space="0"/>
                            </w:pBdr>
                            <w:snapToGrid/>
                            <w:ind w:left="-60" w:leftChars="-25" w:right="-60" w:rightChars="-25"/>
                            <w:rPr>
                              <w:rFonts w:hint="default" w:ascii="仿宋" w:hAnsi="仿宋" w:eastAsia="仿宋" w:cs="仿宋"/>
                              <w:b w:val="0"/>
                              <w:bCs w:val="0"/>
                              <w:kern w:val="0"/>
                              <w:sz w:val="21"/>
                              <w:szCs w:val="21"/>
                              <w:lang w:val="en-US" w:eastAsia="zh-CN"/>
                            </w:rPr>
                          </w:pPr>
                          <w:r>
                            <w:rPr>
                              <w:rFonts w:hint="eastAsia" w:ascii="仿宋" w:hAnsi="仿宋" w:eastAsia="仿宋" w:cs="仿宋"/>
                              <w:b w:val="0"/>
                              <w:bCs w:val="0"/>
                              <w:kern w:val="0"/>
                              <w:sz w:val="21"/>
                              <w:szCs w:val="21"/>
                              <w:lang w:val="en-US" w:eastAsia="zh-CN"/>
                            </w:rPr>
                            <w:t>页码：</w:t>
                          </w:r>
                          <w:r>
                            <w:rPr>
                              <w:rFonts w:hint="eastAsia" w:ascii="仿宋" w:hAnsi="仿宋" w:eastAsia="仿宋" w:cs="仿宋"/>
                              <w:b w:val="0"/>
                              <w:bCs w:val="0"/>
                              <w:kern w:val="0"/>
                              <w:sz w:val="21"/>
                              <w:szCs w:val="21"/>
                              <w:lang w:val="en-US" w:eastAsia="zh-CN"/>
                            </w:rPr>
                            <w:fldChar w:fldCharType="begin"/>
                          </w:r>
                          <w:r>
                            <w:rPr>
                              <w:rFonts w:hint="eastAsia" w:ascii="仿宋" w:hAnsi="仿宋" w:eastAsia="仿宋" w:cs="仿宋"/>
                              <w:b w:val="0"/>
                              <w:bCs w:val="0"/>
                              <w:kern w:val="0"/>
                              <w:sz w:val="21"/>
                              <w:szCs w:val="21"/>
                              <w:lang w:val="en-US" w:eastAsia="zh-CN"/>
                            </w:rPr>
                            <w:instrText xml:space="preserve"> PAGE  \* MERGEFORMAT </w:instrText>
                          </w:r>
                          <w:r>
                            <w:rPr>
                              <w:rFonts w:hint="eastAsia" w:ascii="仿宋" w:hAnsi="仿宋" w:eastAsia="仿宋" w:cs="仿宋"/>
                              <w:b w:val="0"/>
                              <w:bCs w:val="0"/>
                              <w:kern w:val="0"/>
                              <w:sz w:val="21"/>
                              <w:szCs w:val="21"/>
                              <w:lang w:val="en-US" w:eastAsia="zh-CN"/>
                            </w:rPr>
                            <w:fldChar w:fldCharType="separate"/>
                          </w:r>
                          <w:r>
                            <w:rPr>
                              <w:rFonts w:hint="eastAsia" w:ascii="仿宋" w:hAnsi="仿宋" w:eastAsia="仿宋" w:cs="仿宋"/>
                              <w:b w:val="0"/>
                              <w:bCs w:val="0"/>
                              <w:kern w:val="0"/>
                              <w:sz w:val="21"/>
                              <w:szCs w:val="21"/>
                              <w:lang w:val="en-US" w:eastAsia="zh-CN"/>
                            </w:rPr>
                            <w:t>1</w:t>
                          </w:r>
                          <w:r>
                            <w:rPr>
                              <w:rFonts w:hint="eastAsia" w:ascii="仿宋" w:hAnsi="仿宋" w:eastAsia="仿宋" w:cs="仿宋"/>
                              <w:b w:val="0"/>
                              <w:bCs w:val="0"/>
                              <w:kern w:val="0"/>
                              <w:sz w:val="21"/>
                              <w:szCs w:val="21"/>
                              <w:lang w:val="en-US" w:eastAsia="zh-CN"/>
                            </w:rPr>
                            <w:fldChar w:fldCharType="end"/>
                          </w:r>
                          <w:r>
                            <w:rPr>
                              <w:rFonts w:hint="eastAsia" w:ascii="仿宋" w:hAnsi="仿宋" w:eastAsia="仿宋" w:cs="仿宋"/>
                              <w:b w:val="0"/>
                              <w:bCs w:val="0"/>
                              <w:kern w:val="0"/>
                              <w:sz w:val="21"/>
                              <w:szCs w:val="21"/>
                              <w:lang w:val="en-US" w:eastAsia="zh-CN"/>
                            </w:rPr>
                            <w:t xml:space="preserve"> / 50</w:t>
                          </w:r>
                        </w:p>
                      </w:txbxContent>
                    </v:textbox>
                  </v:shape>
                </w:pict>
              </mc:Fallback>
            </mc:AlternateContent>
          </w:r>
        </w:p>
      </w:tc>
    </w:tr>
  </w:tbl>
  <w:p w14:paraId="6AB6B8D8">
    <w:pPr>
      <w:spacing w:line="229" w:lineRule="auto"/>
      <w:rPr>
        <w:rFonts w:ascii="宋体" w:hAnsi="宋体" w:eastAsia="宋体" w:cs="宋体"/>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832DD"/>
    <w:multiLevelType w:val="singleLevel"/>
    <w:tmpl w:val="B3F832DD"/>
    <w:lvl w:ilvl="0" w:tentative="0">
      <w:start w:val="1"/>
      <w:numFmt w:val="decimal"/>
      <w:suff w:val="nothing"/>
      <w:lvlText w:val="（%1）"/>
      <w:lvlJc w:val="left"/>
    </w:lvl>
  </w:abstractNum>
  <w:abstractNum w:abstractNumId="1">
    <w:nsid w:val="E26D3104"/>
    <w:multiLevelType w:val="multilevel"/>
    <w:tmpl w:val="E26D3104"/>
    <w:lvl w:ilvl="0" w:tentative="0">
      <w:start w:val="3"/>
      <w:numFmt w:val="decimal"/>
      <w:lvlText w:val="%1"/>
      <w:lvlJc w:val="left"/>
      <w:pPr>
        <w:tabs>
          <w:tab w:val="left" w:pos="300"/>
        </w:tabs>
        <w:autoSpaceDE w:val="0"/>
        <w:autoSpaceDN w:val="0"/>
        <w:ind w:left="300" w:hanging="300"/>
      </w:pPr>
      <w:rPr>
        <w:rFonts w:hint="default" w:ascii="宋体" w:hAnsi="宋体" w:eastAsia="宋体" w:cs="宋体"/>
      </w:rPr>
    </w:lvl>
    <w:lvl w:ilvl="1" w:tentative="0">
      <w:start w:val="1"/>
      <w:numFmt w:val="decimal"/>
      <w:suff w:val="space"/>
      <w:lvlText w:val="%1.%2"/>
      <w:lvlJc w:val="left"/>
      <w:rPr>
        <w:rFonts w:hint="default" w:ascii="Times New Roman" w:hAnsi="Times New Roman" w:eastAsia="Times NR MT Pro Medium" w:cs="Times New Roman"/>
      </w:r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2">
    <w:nsid w:val="EBBEC3E1"/>
    <w:multiLevelType w:val="singleLevel"/>
    <w:tmpl w:val="EBBEC3E1"/>
    <w:lvl w:ilvl="0" w:tentative="0">
      <w:start w:val="1"/>
      <w:numFmt w:val="decimal"/>
      <w:suff w:val="nothing"/>
      <w:lvlText w:val="（%1）"/>
      <w:lvlJc w:val="left"/>
    </w:lvl>
  </w:abstractNum>
  <w:abstractNum w:abstractNumId="3">
    <w:nsid w:val="00000005"/>
    <w:multiLevelType w:val="multilevel"/>
    <w:tmpl w:val="00000005"/>
    <w:lvl w:ilvl="0" w:tentative="0">
      <w:start w:val="1"/>
      <w:numFmt w:val="decimal"/>
      <w:lvlText w:val="%1"/>
      <w:lvlJc w:val="left"/>
      <w:pPr>
        <w:tabs>
          <w:tab w:val="left" w:pos="228"/>
        </w:tabs>
        <w:autoSpaceDE w:val="0"/>
        <w:autoSpaceDN w:val="0"/>
        <w:ind w:left="228" w:hanging="228"/>
      </w:pPr>
      <w:rPr>
        <w:rFonts w:hint="default" w:ascii="Times New Roman" w:hAnsi="Times New Roman" w:cs="Times New Roman"/>
      </w:rPr>
    </w:lvl>
    <w:lvl w:ilvl="1" w:tentative="0">
      <w:start w:val="1"/>
      <w:numFmt w:val="decimal"/>
      <w:lvlText w:val="%1.%2"/>
      <w:lvlJc w:val="left"/>
      <w:pPr>
        <w:tabs>
          <w:tab w:val="left" w:pos="528"/>
        </w:tabs>
        <w:autoSpaceDE w:val="0"/>
        <w:autoSpaceDN w:val="0"/>
        <w:ind w:left="528" w:hanging="528"/>
      </w:pPr>
    </w:lvl>
    <w:lvl w:ilvl="2" w:tentative="0">
      <w:start w:val="1"/>
      <w:numFmt w:val="decimal"/>
      <w:lvlText w:val="%1.%2.%3"/>
      <w:lvlJc w:val="left"/>
      <w:pPr>
        <w:autoSpaceDE w:val="0"/>
        <w:autoSpaceDN w:val="0"/>
        <w:ind w:left="420"/>
      </w:p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4">
    <w:nsid w:val="254291F1"/>
    <w:multiLevelType w:val="multilevel"/>
    <w:tmpl w:val="254291F1"/>
    <w:lvl w:ilvl="0" w:tentative="0">
      <w:start w:val="7"/>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lvlText w:val="%1.%2.%3"/>
      <w:lvlJc w:val="left"/>
      <w:pPr>
        <w:tabs>
          <w:tab w:val="left" w:pos="634"/>
        </w:tabs>
        <w:autoSpaceDE w:val="0"/>
        <w:autoSpaceDN w:val="0"/>
      </w:pPr>
      <w:rPr>
        <w:rFonts w:hint="default" w:ascii="宋体" w:hAnsi="宋体" w:eastAsia="宋体" w:cs="宋体"/>
      </w:rPr>
    </w:lvl>
    <w:lvl w:ilvl="3" w:tentative="0">
      <w:start w:val="1"/>
      <w:numFmt w:val="decimal"/>
      <w:lvlText w:val="%1.%2.%3.%4"/>
      <w:lvlJc w:val="left"/>
      <w:pPr>
        <w:tabs>
          <w:tab w:val="left" w:pos="845"/>
        </w:tabs>
        <w:autoSpaceDE w:val="0"/>
        <w:autoSpaceDN w:val="0"/>
        <w:ind w:left="845" w:hanging="845"/>
      </w:pPr>
    </w:lvl>
    <w:lvl w:ilvl="4" w:tentative="0">
      <w:start w:val="1"/>
      <w:numFmt w:val="decimal"/>
      <w:lvlText w:val="%1.%2.%3.%4.%5"/>
      <w:lvlJc w:val="left"/>
      <w:pPr>
        <w:tabs>
          <w:tab w:val="left" w:pos="420"/>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5">
    <w:nsid w:val="3BD3E232"/>
    <w:multiLevelType w:val="multilevel"/>
    <w:tmpl w:val="3BD3E232"/>
    <w:lvl w:ilvl="0" w:tentative="0">
      <w:start w:val="6"/>
      <w:numFmt w:val="decimal"/>
      <w:lvlText w:val="%1"/>
      <w:lvlJc w:val="left"/>
      <w:pPr>
        <w:tabs>
          <w:tab w:val="left" w:pos="420"/>
        </w:tabs>
        <w:autoSpaceDE w:val="0"/>
        <w:autoSpaceDN w:val="0"/>
        <w:ind w:left="420"/>
      </w:pPr>
      <w:rPr>
        <w:rFonts w:hint="default" w:ascii="宋体" w:hAnsi="宋体" w:eastAsia="宋体" w:cs="宋体"/>
      </w:rPr>
    </w:lvl>
    <w:lvl w:ilvl="1" w:tentative="0">
      <w:start w:val="1"/>
      <w:numFmt w:val="decimal"/>
      <w:suff w:val="space"/>
      <w:lvlText w:val="%1.%2"/>
      <w:lvlJc w:val="left"/>
      <w:pPr>
        <w:tabs>
          <w:tab w:val="left" w:pos="0"/>
        </w:tabs>
        <w:autoSpaceDE w:val="0"/>
        <w:autoSpaceDN w:val="0"/>
        <w:ind w:left="0" w:firstLine="1"/>
      </w:pPr>
      <w:rPr>
        <w:rFonts w:hint="default" w:ascii="Times New Roman" w:hAnsi="Times New Roman" w:eastAsia="宋体" w:cs="Times New Roman"/>
      </w:rPr>
    </w:lvl>
    <w:lvl w:ilvl="2" w:tentative="0">
      <w:start w:val="1"/>
      <w:numFmt w:val="decimal"/>
      <w:suff w:val="space"/>
      <w:lvlText w:val="%1.%2.%3"/>
      <w:lvlJc w:val="left"/>
      <w:pPr>
        <w:autoSpaceDE w:val="0"/>
        <w:autoSpaceDN w:val="0"/>
      </w:pPr>
      <w:rPr>
        <w:rFonts w:hint="default" w:ascii="Times New Roman" w:hAnsi="Times New Roman" w:eastAsia="宋体" w:cs="Times New Roman"/>
      </w:rPr>
    </w:lvl>
    <w:lvl w:ilvl="3" w:tentative="0">
      <w:start w:val="1"/>
      <w:numFmt w:val="decimal"/>
      <w:suff w:val="space"/>
      <w:lvlText w:val="%1.%2.%3.%4"/>
      <w:lvlJc w:val="left"/>
      <w:pPr>
        <w:autoSpaceDE w:val="0"/>
        <w:autoSpaceDN w:val="0"/>
        <w:ind w:left="845" w:hanging="845"/>
      </w:pPr>
      <w:rPr>
        <w:rFonts w:hint="default" w:ascii="Times New Roman" w:hAnsi="Times New Roman" w:cs="Times New Roman"/>
      </w:rPr>
    </w:lvl>
    <w:lvl w:ilvl="4" w:tentative="0">
      <w:start w:val="1"/>
      <w:numFmt w:val="decimal"/>
      <w:lvlText w:val="%1.%2.%3.%4.%5"/>
      <w:lvlJc w:val="left"/>
      <w:pPr>
        <w:tabs>
          <w:tab w:val="left" w:pos="1054"/>
        </w:tabs>
        <w:autoSpaceDE w:val="0"/>
        <w:autoSpaceDN w:val="0"/>
      </w:pPr>
      <w:rPr>
        <w:rFonts w:hint="default" w:ascii="宋体" w:hAnsi="宋体" w:eastAsia="宋体" w:cs="宋体"/>
      </w:rPr>
    </w:lvl>
    <w:lvl w:ilvl="5" w:tentative="0">
      <w:start w:val="1"/>
      <w:numFmt w:val="decimal"/>
      <w:lvlText w:val="%1.%2.%3.%4.%5.%6"/>
      <w:lvlJc w:val="left"/>
      <w:pPr>
        <w:tabs>
          <w:tab w:val="left" w:pos="420"/>
        </w:tabs>
        <w:autoSpaceDE w:val="0"/>
        <w:autoSpaceDN w:val="0"/>
        <w:ind w:left="420"/>
      </w:pPr>
      <w:rPr>
        <w:rFonts w:hint="default" w:ascii="宋体" w:hAnsi="宋体" w:eastAsia="宋体" w:cs="宋体"/>
      </w:rPr>
    </w:lvl>
    <w:lvl w:ilvl="6" w:tentative="0">
      <w:start w:val="1"/>
      <w:numFmt w:val="decimal"/>
      <w:lvlText w:val="%1.%2.%3.%4.%5.%6.%7"/>
      <w:lvlJc w:val="left"/>
      <w:pPr>
        <w:autoSpaceDE w:val="0"/>
        <w:autoSpaceDN w:val="0"/>
        <w:ind w:left="420"/>
      </w:pPr>
      <w:rPr>
        <w:rFonts w:hint="default" w:ascii="宋体" w:hAnsi="宋体" w:eastAsia="宋体" w:cs="宋体"/>
      </w:r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6">
    <w:nsid w:val="6155A9AB"/>
    <w:multiLevelType w:val="multilevel"/>
    <w:tmpl w:val="6155A9AB"/>
    <w:lvl w:ilvl="0" w:tentative="0">
      <w:start w:val="4"/>
      <w:numFmt w:val="decimal"/>
      <w:lvlText w:val="%1"/>
      <w:lvlJc w:val="left"/>
      <w:pPr>
        <w:tabs>
          <w:tab w:val="left" w:pos="420"/>
        </w:tabs>
        <w:autoSpaceDE w:val="0"/>
        <w:autoSpaceDN w:val="0"/>
        <w:ind w:left="300" w:hanging="300"/>
      </w:pPr>
      <w:rPr>
        <w:rFonts w:hint="default" w:ascii="宋体" w:hAnsi="宋体" w:eastAsia="宋体" w:cs="宋体"/>
      </w:rPr>
    </w:lvl>
    <w:lvl w:ilvl="1" w:tentative="0">
      <w:start w:val="1"/>
      <w:numFmt w:val="decimal"/>
      <w:suff w:val="space"/>
      <w:lvlText w:val="%1.%2"/>
      <w:lvlJc w:val="left"/>
      <w:pPr>
        <w:tabs>
          <w:tab w:val="left" w:pos="0"/>
        </w:tabs>
      </w:pPr>
      <w:rPr>
        <w:rFonts w:hint="default" w:ascii="Times New Roman" w:hAnsi="Times New Roman" w:eastAsia="宋体" w:cs="Times New Roman"/>
      </w:rPr>
    </w:lvl>
    <w:lvl w:ilvl="2" w:tentative="0">
      <w:start w:val="1"/>
      <w:numFmt w:val="decimal"/>
      <w:lvlText w:val="%1.%2.%3"/>
      <w:lvlJc w:val="left"/>
      <w:pPr>
        <w:autoSpaceDE w:val="0"/>
        <w:autoSpaceDN w:val="0"/>
        <w:ind w:left="420"/>
      </w:pPr>
      <w:rPr>
        <w:rFonts w:hint="default" w:ascii="宋体" w:hAnsi="宋体" w:eastAsia="宋体" w:cs="宋体"/>
      </w:rPr>
    </w:lvl>
    <w:lvl w:ilvl="3" w:tentative="0">
      <w:start w:val="1"/>
      <w:numFmt w:val="decimal"/>
      <w:lvlText w:val="%1.%2.%3.%4"/>
      <w:lvlJc w:val="left"/>
      <w:pPr>
        <w:autoSpaceDE w:val="0"/>
        <w:autoSpaceDN w:val="0"/>
        <w:ind w:left="420"/>
      </w:pPr>
    </w:lvl>
    <w:lvl w:ilvl="4" w:tentative="0">
      <w:start w:val="1"/>
      <w:numFmt w:val="decimal"/>
      <w:lvlText w:val="%1.%2.%3.%4.%5"/>
      <w:lvlJc w:val="left"/>
      <w:pPr>
        <w:autoSpaceDE w:val="0"/>
        <w:autoSpaceDN w:val="0"/>
        <w:ind w:left="420"/>
      </w:pPr>
    </w:lvl>
    <w:lvl w:ilvl="5" w:tentative="0">
      <w:start w:val="1"/>
      <w:numFmt w:val="decimal"/>
      <w:lvlText w:val="%1.%2.%3.%4.%5.%6"/>
      <w:lvlJc w:val="left"/>
      <w:pPr>
        <w:autoSpaceDE w:val="0"/>
        <w:autoSpaceDN w:val="0"/>
        <w:ind w:left="420"/>
      </w:pPr>
    </w:lvl>
    <w:lvl w:ilvl="6" w:tentative="0">
      <w:start w:val="1"/>
      <w:numFmt w:val="decimal"/>
      <w:lvlText w:val="%1.%2.%3.%4.%5.%6.%7"/>
      <w:lvlJc w:val="left"/>
      <w:pPr>
        <w:autoSpaceDE w:val="0"/>
        <w:autoSpaceDN w:val="0"/>
        <w:ind w:left="420"/>
      </w:pPr>
    </w:lvl>
    <w:lvl w:ilvl="7" w:tentative="0">
      <w:start w:val="1"/>
      <w:numFmt w:val="decimal"/>
      <w:lvlText w:val="%1.%2.%3.%4.%5.%6.%7.%8"/>
      <w:lvlJc w:val="left"/>
      <w:pPr>
        <w:autoSpaceDE w:val="0"/>
        <w:autoSpaceDN w:val="0"/>
        <w:ind w:left="420"/>
      </w:pPr>
    </w:lvl>
    <w:lvl w:ilvl="8" w:tentative="0">
      <w:start w:val="1"/>
      <w:numFmt w:val="decimal"/>
      <w:lvlText w:val="%1.%2.%3.%4.%5.%6.%7.%8.%9"/>
      <w:lvlJc w:val="left"/>
      <w:pPr>
        <w:autoSpaceDE w:val="0"/>
        <w:autoSpaceDN w:val="0"/>
        <w:ind w:left="420"/>
      </w:pPr>
    </w:lvl>
  </w:abstractNum>
  <w:abstractNum w:abstractNumId="7">
    <w:nsid w:val="6A03F2A2"/>
    <w:multiLevelType w:val="singleLevel"/>
    <w:tmpl w:val="6A03F2A2"/>
    <w:lvl w:ilvl="0" w:tentative="0">
      <w:start w:val="4"/>
      <w:numFmt w:val="decimal"/>
      <w:suff w:val="space"/>
      <w:lvlText w:val="%1."/>
      <w:lvlJc w:val="left"/>
    </w:lvl>
  </w:abstractNum>
  <w:num w:numId="1">
    <w:abstractNumId w:val="3"/>
  </w:num>
  <w:num w:numId="2">
    <w:abstractNumId w:val="1"/>
  </w:num>
  <w:num w:numId="3">
    <w:abstractNumId w:val="6"/>
  </w:num>
  <w:num w:numId="4">
    <w:abstractNumId w:val="5"/>
  </w:num>
  <w:num w:numId="5">
    <w:abstractNumId w:val="4"/>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footnotePr>
    <w:footnote w:id="12"/>
    <w:footnote w:id="1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2MTE0NDM3ZjZiMGQ5M2M2ODg2MmQ3MTQzMmEifQ=="/>
  </w:docVars>
  <w:rsids>
    <w:rsidRoot w:val="00172A27"/>
    <w:rsid w:val="000024FB"/>
    <w:rsid w:val="00015685"/>
    <w:rsid w:val="00036B35"/>
    <w:rsid w:val="000373D8"/>
    <w:rsid w:val="00044016"/>
    <w:rsid w:val="00071671"/>
    <w:rsid w:val="000B04E7"/>
    <w:rsid w:val="000C3DA7"/>
    <w:rsid w:val="000D3765"/>
    <w:rsid w:val="00143E62"/>
    <w:rsid w:val="0016125F"/>
    <w:rsid w:val="00172A27"/>
    <w:rsid w:val="001A41CA"/>
    <w:rsid w:val="001B0911"/>
    <w:rsid w:val="0024106A"/>
    <w:rsid w:val="00244E56"/>
    <w:rsid w:val="00265752"/>
    <w:rsid w:val="002744BE"/>
    <w:rsid w:val="00277356"/>
    <w:rsid w:val="002A2606"/>
    <w:rsid w:val="003423F0"/>
    <w:rsid w:val="003B4DFC"/>
    <w:rsid w:val="00405E76"/>
    <w:rsid w:val="004449A3"/>
    <w:rsid w:val="00490DD6"/>
    <w:rsid w:val="0049110B"/>
    <w:rsid w:val="004A7752"/>
    <w:rsid w:val="00506C9C"/>
    <w:rsid w:val="00511421"/>
    <w:rsid w:val="005647D1"/>
    <w:rsid w:val="005655D7"/>
    <w:rsid w:val="00566E99"/>
    <w:rsid w:val="00574D75"/>
    <w:rsid w:val="00587619"/>
    <w:rsid w:val="00590313"/>
    <w:rsid w:val="005D34BC"/>
    <w:rsid w:val="00627677"/>
    <w:rsid w:val="006425A3"/>
    <w:rsid w:val="0064505D"/>
    <w:rsid w:val="00665FCA"/>
    <w:rsid w:val="00683899"/>
    <w:rsid w:val="006C3DCF"/>
    <w:rsid w:val="006E7B4A"/>
    <w:rsid w:val="007118E0"/>
    <w:rsid w:val="007251C0"/>
    <w:rsid w:val="00732610"/>
    <w:rsid w:val="007344E6"/>
    <w:rsid w:val="00743546"/>
    <w:rsid w:val="00752BF6"/>
    <w:rsid w:val="0078158C"/>
    <w:rsid w:val="007A7F73"/>
    <w:rsid w:val="007B6F11"/>
    <w:rsid w:val="008163D5"/>
    <w:rsid w:val="008648A6"/>
    <w:rsid w:val="00865512"/>
    <w:rsid w:val="00870D5E"/>
    <w:rsid w:val="00872862"/>
    <w:rsid w:val="00875BB3"/>
    <w:rsid w:val="00875DF2"/>
    <w:rsid w:val="0089024B"/>
    <w:rsid w:val="008A42D3"/>
    <w:rsid w:val="008A5968"/>
    <w:rsid w:val="008D0347"/>
    <w:rsid w:val="008D52DE"/>
    <w:rsid w:val="008E465B"/>
    <w:rsid w:val="008E63EC"/>
    <w:rsid w:val="0091440F"/>
    <w:rsid w:val="009234CB"/>
    <w:rsid w:val="009403B0"/>
    <w:rsid w:val="00941C7A"/>
    <w:rsid w:val="00943289"/>
    <w:rsid w:val="00981AF1"/>
    <w:rsid w:val="009964EF"/>
    <w:rsid w:val="009E02E1"/>
    <w:rsid w:val="009E4F7A"/>
    <w:rsid w:val="009F4BD0"/>
    <w:rsid w:val="00A071EE"/>
    <w:rsid w:val="00A41F06"/>
    <w:rsid w:val="00A54D1A"/>
    <w:rsid w:val="00A867D1"/>
    <w:rsid w:val="00A9782A"/>
    <w:rsid w:val="00AA3689"/>
    <w:rsid w:val="00AA64E2"/>
    <w:rsid w:val="00AD5535"/>
    <w:rsid w:val="00AE3984"/>
    <w:rsid w:val="00AE6E0B"/>
    <w:rsid w:val="00AF0840"/>
    <w:rsid w:val="00AF492A"/>
    <w:rsid w:val="00B05C66"/>
    <w:rsid w:val="00B27C7A"/>
    <w:rsid w:val="00B506F6"/>
    <w:rsid w:val="00BA61C2"/>
    <w:rsid w:val="00BA61DE"/>
    <w:rsid w:val="00BB5C5E"/>
    <w:rsid w:val="00BC098C"/>
    <w:rsid w:val="00BD39CC"/>
    <w:rsid w:val="00BE42C9"/>
    <w:rsid w:val="00C92534"/>
    <w:rsid w:val="00C94AC4"/>
    <w:rsid w:val="00CA2F0F"/>
    <w:rsid w:val="00CA38FE"/>
    <w:rsid w:val="00CC1AC5"/>
    <w:rsid w:val="00CD1CFD"/>
    <w:rsid w:val="00CF4993"/>
    <w:rsid w:val="00D152F0"/>
    <w:rsid w:val="00D44153"/>
    <w:rsid w:val="00D47F67"/>
    <w:rsid w:val="00D53FB1"/>
    <w:rsid w:val="00D73959"/>
    <w:rsid w:val="00D919A0"/>
    <w:rsid w:val="00DA1687"/>
    <w:rsid w:val="00DA3A04"/>
    <w:rsid w:val="00DA6B3B"/>
    <w:rsid w:val="00DF44E8"/>
    <w:rsid w:val="00E3021C"/>
    <w:rsid w:val="00E6329E"/>
    <w:rsid w:val="00E9163D"/>
    <w:rsid w:val="00EE7652"/>
    <w:rsid w:val="00EF606D"/>
    <w:rsid w:val="00F070DF"/>
    <w:rsid w:val="00F26792"/>
    <w:rsid w:val="00F55F3B"/>
    <w:rsid w:val="00F959D0"/>
    <w:rsid w:val="00FC7299"/>
    <w:rsid w:val="00FE2DE1"/>
    <w:rsid w:val="0128796B"/>
    <w:rsid w:val="012D66CB"/>
    <w:rsid w:val="013B3C45"/>
    <w:rsid w:val="01622C0E"/>
    <w:rsid w:val="017F0AD9"/>
    <w:rsid w:val="019313B4"/>
    <w:rsid w:val="01A2719B"/>
    <w:rsid w:val="01DB6CEF"/>
    <w:rsid w:val="024912E2"/>
    <w:rsid w:val="02954528"/>
    <w:rsid w:val="02A9329A"/>
    <w:rsid w:val="02A97FD3"/>
    <w:rsid w:val="02D42558"/>
    <w:rsid w:val="030B2FE8"/>
    <w:rsid w:val="03394EB3"/>
    <w:rsid w:val="035D2CB6"/>
    <w:rsid w:val="03773C2D"/>
    <w:rsid w:val="037A294F"/>
    <w:rsid w:val="039A36A3"/>
    <w:rsid w:val="03A10C80"/>
    <w:rsid w:val="03AD6239"/>
    <w:rsid w:val="04194409"/>
    <w:rsid w:val="047D2ACD"/>
    <w:rsid w:val="048E56D2"/>
    <w:rsid w:val="04932CE9"/>
    <w:rsid w:val="0495080F"/>
    <w:rsid w:val="049A0B9A"/>
    <w:rsid w:val="04F27EAB"/>
    <w:rsid w:val="050412DB"/>
    <w:rsid w:val="054A23D2"/>
    <w:rsid w:val="054B6C6E"/>
    <w:rsid w:val="05586655"/>
    <w:rsid w:val="056426BD"/>
    <w:rsid w:val="056B57EE"/>
    <w:rsid w:val="05917228"/>
    <w:rsid w:val="05AA02EA"/>
    <w:rsid w:val="05C25634"/>
    <w:rsid w:val="05D435B9"/>
    <w:rsid w:val="05E83A44"/>
    <w:rsid w:val="061877AC"/>
    <w:rsid w:val="061A27C0"/>
    <w:rsid w:val="0620470B"/>
    <w:rsid w:val="06270219"/>
    <w:rsid w:val="06D6714F"/>
    <w:rsid w:val="07207494"/>
    <w:rsid w:val="07550729"/>
    <w:rsid w:val="07AA637F"/>
    <w:rsid w:val="07B92A66"/>
    <w:rsid w:val="07BB058C"/>
    <w:rsid w:val="07C800AA"/>
    <w:rsid w:val="084560A8"/>
    <w:rsid w:val="085B1B32"/>
    <w:rsid w:val="089768CE"/>
    <w:rsid w:val="0899425C"/>
    <w:rsid w:val="08AF79C5"/>
    <w:rsid w:val="08B4717B"/>
    <w:rsid w:val="08C22170"/>
    <w:rsid w:val="09532A47"/>
    <w:rsid w:val="095D7320"/>
    <w:rsid w:val="099E1F14"/>
    <w:rsid w:val="09AA06DE"/>
    <w:rsid w:val="09FB727C"/>
    <w:rsid w:val="09FFC7C5"/>
    <w:rsid w:val="0A275576"/>
    <w:rsid w:val="0A5B128B"/>
    <w:rsid w:val="0A5C7D4D"/>
    <w:rsid w:val="0A6273E5"/>
    <w:rsid w:val="0A6702CB"/>
    <w:rsid w:val="0AB47515"/>
    <w:rsid w:val="0ACF3225"/>
    <w:rsid w:val="0B3767D1"/>
    <w:rsid w:val="0B3831C9"/>
    <w:rsid w:val="0B3A3EBE"/>
    <w:rsid w:val="0B4B5A52"/>
    <w:rsid w:val="0B584344"/>
    <w:rsid w:val="0B750489"/>
    <w:rsid w:val="0BCA5242"/>
    <w:rsid w:val="0BF4279C"/>
    <w:rsid w:val="0C014219"/>
    <w:rsid w:val="0C0F70F9"/>
    <w:rsid w:val="0C1E733C"/>
    <w:rsid w:val="0C2B1A59"/>
    <w:rsid w:val="0CA46ADB"/>
    <w:rsid w:val="0D222DFC"/>
    <w:rsid w:val="0D76926A"/>
    <w:rsid w:val="0D9851C6"/>
    <w:rsid w:val="0DB461AA"/>
    <w:rsid w:val="0DCB704F"/>
    <w:rsid w:val="0DF447F8"/>
    <w:rsid w:val="0DF63A5E"/>
    <w:rsid w:val="0E012A71"/>
    <w:rsid w:val="0E30290C"/>
    <w:rsid w:val="0E3E43F3"/>
    <w:rsid w:val="0E7C0753"/>
    <w:rsid w:val="0E812B09"/>
    <w:rsid w:val="0ED7192C"/>
    <w:rsid w:val="0EEC3721"/>
    <w:rsid w:val="0F130F2E"/>
    <w:rsid w:val="0F194316"/>
    <w:rsid w:val="0F474BA3"/>
    <w:rsid w:val="0F577FE3"/>
    <w:rsid w:val="0F8B5F1E"/>
    <w:rsid w:val="0FBFC49D"/>
    <w:rsid w:val="0FC341A2"/>
    <w:rsid w:val="0FC77A20"/>
    <w:rsid w:val="0FCC23BD"/>
    <w:rsid w:val="0FD96366"/>
    <w:rsid w:val="10014FAA"/>
    <w:rsid w:val="10066A65"/>
    <w:rsid w:val="10284C2D"/>
    <w:rsid w:val="1033486F"/>
    <w:rsid w:val="105B63D5"/>
    <w:rsid w:val="1069645D"/>
    <w:rsid w:val="108300B5"/>
    <w:rsid w:val="10B777D2"/>
    <w:rsid w:val="11000717"/>
    <w:rsid w:val="11162CD7"/>
    <w:rsid w:val="11177B40"/>
    <w:rsid w:val="111C7156"/>
    <w:rsid w:val="113DD9FC"/>
    <w:rsid w:val="11EF4C01"/>
    <w:rsid w:val="11F0417C"/>
    <w:rsid w:val="12255994"/>
    <w:rsid w:val="122622AF"/>
    <w:rsid w:val="12411FD6"/>
    <w:rsid w:val="124B075F"/>
    <w:rsid w:val="12774B06"/>
    <w:rsid w:val="12A07D50"/>
    <w:rsid w:val="12B10F0A"/>
    <w:rsid w:val="12BF4F6A"/>
    <w:rsid w:val="13427DB4"/>
    <w:rsid w:val="134E7D59"/>
    <w:rsid w:val="13892900"/>
    <w:rsid w:val="138C102F"/>
    <w:rsid w:val="13CE5AEB"/>
    <w:rsid w:val="140212F1"/>
    <w:rsid w:val="14353475"/>
    <w:rsid w:val="146B39CD"/>
    <w:rsid w:val="14714FF2"/>
    <w:rsid w:val="150B2427"/>
    <w:rsid w:val="15145780"/>
    <w:rsid w:val="15237771"/>
    <w:rsid w:val="155B33AF"/>
    <w:rsid w:val="1586414E"/>
    <w:rsid w:val="158A47F1"/>
    <w:rsid w:val="158D8AE1"/>
    <w:rsid w:val="1599124E"/>
    <w:rsid w:val="159F4DFE"/>
    <w:rsid w:val="15DE69A4"/>
    <w:rsid w:val="161E6396"/>
    <w:rsid w:val="167919C2"/>
    <w:rsid w:val="16832D34"/>
    <w:rsid w:val="16B9038D"/>
    <w:rsid w:val="16BC07BB"/>
    <w:rsid w:val="16D731BE"/>
    <w:rsid w:val="16F77107"/>
    <w:rsid w:val="17012110"/>
    <w:rsid w:val="174560C4"/>
    <w:rsid w:val="174F0CF1"/>
    <w:rsid w:val="176531A5"/>
    <w:rsid w:val="179B2508"/>
    <w:rsid w:val="17BD564F"/>
    <w:rsid w:val="17C57205"/>
    <w:rsid w:val="17D14193"/>
    <w:rsid w:val="17FF5035"/>
    <w:rsid w:val="187EAC19"/>
    <w:rsid w:val="18811E6E"/>
    <w:rsid w:val="188172CF"/>
    <w:rsid w:val="18EE0096"/>
    <w:rsid w:val="191915B7"/>
    <w:rsid w:val="19622BC3"/>
    <w:rsid w:val="1993197A"/>
    <w:rsid w:val="199957A7"/>
    <w:rsid w:val="19A215AC"/>
    <w:rsid w:val="1A6E148E"/>
    <w:rsid w:val="1ABA0B77"/>
    <w:rsid w:val="1AE256A7"/>
    <w:rsid w:val="1AE34501"/>
    <w:rsid w:val="1AF04599"/>
    <w:rsid w:val="1B442EC7"/>
    <w:rsid w:val="1B650AE3"/>
    <w:rsid w:val="1B7E3953"/>
    <w:rsid w:val="1BA44CF9"/>
    <w:rsid w:val="1BFEFC1D"/>
    <w:rsid w:val="1C47468D"/>
    <w:rsid w:val="1C7B48DB"/>
    <w:rsid w:val="1C9F376E"/>
    <w:rsid w:val="1CAA7826"/>
    <w:rsid w:val="1CDF0421"/>
    <w:rsid w:val="1CE4012E"/>
    <w:rsid w:val="1CE763D8"/>
    <w:rsid w:val="1CED7F15"/>
    <w:rsid w:val="1D1A9231"/>
    <w:rsid w:val="1D1E53EE"/>
    <w:rsid w:val="1D21607B"/>
    <w:rsid w:val="1D3E6272"/>
    <w:rsid w:val="1D4A1C90"/>
    <w:rsid w:val="1D6D2C61"/>
    <w:rsid w:val="1D9264D1"/>
    <w:rsid w:val="1DB76306"/>
    <w:rsid w:val="1DEF19E4"/>
    <w:rsid w:val="1DF25422"/>
    <w:rsid w:val="1DFD7F70"/>
    <w:rsid w:val="1DFF162A"/>
    <w:rsid w:val="1E7B23CC"/>
    <w:rsid w:val="1E944099"/>
    <w:rsid w:val="1E9A6F10"/>
    <w:rsid w:val="1E9ED09D"/>
    <w:rsid w:val="1ED870DE"/>
    <w:rsid w:val="1EFDB126"/>
    <w:rsid w:val="1EFE913F"/>
    <w:rsid w:val="1EFF123E"/>
    <w:rsid w:val="1F1101D7"/>
    <w:rsid w:val="1F3BA91B"/>
    <w:rsid w:val="1F6C10B7"/>
    <w:rsid w:val="1F805852"/>
    <w:rsid w:val="1F9E13FF"/>
    <w:rsid w:val="1FBF449E"/>
    <w:rsid w:val="1FC377D1"/>
    <w:rsid w:val="1FD83E03"/>
    <w:rsid w:val="1FDF5FA2"/>
    <w:rsid w:val="1FFC12EA"/>
    <w:rsid w:val="1FFEF84E"/>
    <w:rsid w:val="20213311"/>
    <w:rsid w:val="202B4388"/>
    <w:rsid w:val="203F7B68"/>
    <w:rsid w:val="204439BB"/>
    <w:rsid w:val="20660F77"/>
    <w:rsid w:val="20B25309"/>
    <w:rsid w:val="20B65FAF"/>
    <w:rsid w:val="20C55B80"/>
    <w:rsid w:val="20F72447"/>
    <w:rsid w:val="210963B5"/>
    <w:rsid w:val="211508B6"/>
    <w:rsid w:val="213D3171"/>
    <w:rsid w:val="214A4FD9"/>
    <w:rsid w:val="2191122E"/>
    <w:rsid w:val="21D249F9"/>
    <w:rsid w:val="21E62252"/>
    <w:rsid w:val="221500B1"/>
    <w:rsid w:val="221A75B3"/>
    <w:rsid w:val="2224787C"/>
    <w:rsid w:val="222608A0"/>
    <w:rsid w:val="2250591D"/>
    <w:rsid w:val="225738C1"/>
    <w:rsid w:val="22696FF6"/>
    <w:rsid w:val="227930C6"/>
    <w:rsid w:val="22B934C3"/>
    <w:rsid w:val="22D16A5E"/>
    <w:rsid w:val="22F90A6F"/>
    <w:rsid w:val="22FC2EC3"/>
    <w:rsid w:val="23294AEC"/>
    <w:rsid w:val="234C4337"/>
    <w:rsid w:val="236A5949"/>
    <w:rsid w:val="23D500FA"/>
    <w:rsid w:val="23DB9616"/>
    <w:rsid w:val="24037D57"/>
    <w:rsid w:val="240E594B"/>
    <w:rsid w:val="24C2388B"/>
    <w:rsid w:val="25044278"/>
    <w:rsid w:val="251C3928"/>
    <w:rsid w:val="252F145E"/>
    <w:rsid w:val="25661395"/>
    <w:rsid w:val="25781413"/>
    <w:rsid w:val="25891872"/>
    <w:rsid w:val="25E2F342"/>
    <w:rsid w:val="264744EF"/>
    <w:rsid w:val="26667E05"/>
    <w:rsid w:val="269821F5"/>
    <w:rsid w:val="26A85815"/>
    <w:rsid w:val="26E444A4"/>
    <w:rsid w:val="27132DD6"/>
    <w:rsid w:val="27144B7A"/>
    <w:rsid w:val="2750613E"/>
    <w:rsid w:val="27677991"/>
    <w:rsid w:val="277D5407"/>
    <w:rsid w:val="27B506FD"/>
    <w:rsid w:val="27D266A4"/>
    <w:rsid w:val="27F00AC5"/>
    <w:rsid w:val="28397580"/>
    <w:rsid w:val="284C64E6"/>
    <w:rsid w:val="285C756E"/>
    <w:rsid w:val="287E0B62"/>
    <w:rsid w:val="28846321"/>
    <w:rsid w:val="288B60DA"/>
    <w:rsid w:val="28B93C10"/>
    <w:rsid w:val="28CC0141"/>
    <w:rsid w:val="291259B4"/>
    <w:rsid w:val="29180AF9"/>
    <w:rsid w:val="292D3A32"/>
    <w:rsid w:val="29573697"/>
    <w:rsid w:val="295D54F0"/>
    <w:rsid w:val="29657E80"/>
    <w:rsid w:val="29776043"/>
    <w:rsid w:val="29BF3895"/>
    <w:rsid w:val="29DF4A6F"/>
    <w:rsid w:val="29EC23D0"/>
    <w:rsid w:val="29EC3267"/>
    <w:rsid w:val="29EE56CD"/>
    <w:rsid w:val="2A0858BF"/>
    <w:rsid w:val="2A1536D4"/>
    <w:rsid w:val="2A683242"/>
    <w:rsid w:val="2A7D1370"/>
    <w:rsid w:val="2ABE0DE4"/>
    <w:rsid w:val="2AEF2177"/>
    <w:rsid w:val="2B1A1CFC"/>
    <w:rsid w:val="2B591CE7"/>
    <w:rsid w:val="2B81F97E"/>
    <w:rsid w:val="2B8535ED"/>
    <w:rsid w:val="2BFF381E"/>
    <w:rsid w:val="2C601DC5"/>
    <w:rsid w:val="2C6432A2"/>
    <w:rsid w:val="2C9F7BCD"/>
    <w:rsid w:val="2CD5539D"/>
    <w:rsid w:val="2CFFE6C3"/>
    <w:rsid w:val="2D050128"/>
    <w:rsid w:val="2D2F6099"/>
    <w:rsid w:val="2D2F71A3"/>
    <w:rsid w:val="2D6729DE"/>
    <w:rsid w:val="2D6B2A6A"/>
    <w:rsid w:val="2DC07DFB"/>
    <w:rsid w:val="2DF504E6"/>
    <w:rsid w:val="2E0F1E22"/>
    <w:rsid w:val="2E3D0B5C"/>
    <w:rsid w:val="2E406C04"/>
    <w:rsid w:val="2EAB4607"/>
    <w:rsid w:val="2EDBBD69"/>
    <w:rsid w:val="2EDF5FB6"/>
    <w:rsid w:val="2F083808"/>
    <w:rsid w:val="2F175C25"/>
    <w:rsid w:val="2F5A6AF1"/>
    <w:rsid w:val="2F75CB1B"/>
    <w:rsid w:val="2FB5EF34"/>
    <w:rsid w:val="2FF623B3"/>
    <w:rsid w:val="2FFF9A7C"/>
    <w:rsid w:val="300971DD"/>
    <w:rsid w:val="30681B1A"/>
    <w:rsid w:val="309537C1"/>
    <w:rsid w:val="309A3FE2"/>
    <w:rsid w:val="30B67293"/>
    <w:rsid w:val="30C502BD"/>
    <w:rsid w:val="313E79B5"/>
    <w:rsid w:val="320C36C7"/>
    <w:rsid w:val="321A32FB"/>
    <w:rsid w:val="32756E97"/>
    <w:rsid w:val="327B8A47"/>
    <w:rsid w:val="32A40559"/>
    <w:rsid w:val="32A47CEB"/>
    <w:rsid w:val="32E6250E"/>
    <w:rsid w:val="32E751E1"/>
    <w:rsid w:val="330E64E9"/>
    <w:rsid w:val="3347197D"/>
    <w:rsid w:val="334A7498"/>
    <w:rsid w:val="335A61B8"/>
    <w:rsid w:val="33917406"/>
    <w:rsid w:val="33A37FA3"/>
    <w:rsid w:val="33C7A062"/>
    <w:rsid w:val="33D740F0"/>
    <w:rsid w:val="342F37F0"/>
    <w:rsid w:val="34303C0B"/>
    <w:rsid w:val="343B642D"/>
    <w:rsid w:val="34442222"/>
    <w:rsid w:val="34832D5A"/>
    <w:rsid w:val="349E076A"/>
    <w:rsid w:val="34F75335"/>
    <w:rsid w:val="35066A3B"/>
    <w:rsid w:val="35444484"/>
    <w:rsid w:val="35CC22DB"/>
    <w:rsid w:val="35EF5721"/>
    <w:rsid w:val="361C08C7"/>
    <w:rsid w:val="361C29B8"/>
    <w:rsid w:val="36591057"/>
    <w:rsid w:val="365D6B2F"/>
    <w:rsid w:val="36B17758"/>
    <w:rsid w:val="36BF7C0C"/>
    <w:rsid w:val="36EB278E"/>
    <w:rsid w:val="36FCD219"/>
    <w:rsid w:val="37215DAE"/>
    <w:rsid w:val="373C45E9"/>
    <w:rsid w:val="373E5B71"/>
    <w:rsid w:val="37465815"/>
    <w:rsid w:val="37500665"/>
    <w:rsid w:val="37647620"/>
    <w:rsid w:val="37825684"/>
    <w:rsid w:val="37BA3B0D"/>
    <w:rsid w:val="37ED5E30"/>
    <w:rsid w:val="37F95329"/>
    <w:rsid w:val="37FE1C4C"/>
    <w:rsid w:val="37FF59C4"/>
    <w:rsid w:val="380A4A95"/>
    <w:rsid w:val="382B67B9"/>
    <w:rsid w:val="387A6BD5"/>
    <w:rsid w:val="389E1B9C"/>
    <w:rsid w:val="38E52F64"/>
    <w:rsid w:val="38E5569D"/>
    <w:rsid w:val="39301839"/>
    <w:rsid w:val="394418E0"/>
    <w:rsid w:val="395D6E46"/>
    <w:rsid w:val="3974739D"/>
    <w:rsid w:val="397A40EF"/>
    <w:rsid w:val="39940450"/>
    <w:rsid w:val="39D23390"/>
    <w:rsid w:val="39EA089C"/>
    <w:rsid w:val="39F1675B"/>
    <w:rsid w:val="3A38774A"/>
    <w:rsid w:val="3A406302"/>
    <w:rsid w:val="3A43603C"/>
    <w:rsid w:val="3A62745C"/>
    <w:rsid w:val="3A767F09"/>
    <w:rsid w:val="3A7C154E"/>
    <w:rsid w:val="3A885669"/>
    <w:rsid w:val="3AD13648"/>
    <w:rsid w:val="3AD35612"/>
    <w:rsid w:val="3AD7E9C7"/>
    <w:rsid w:val="3AE77292"/>
    <w:rsid w:val="3B0F4170"/>
    <w:rsid w:val="3B33499F"/>
    <w:rsid w:val="3B4777B1"/>
    <w:rsid w:val="3B77D1DC"/>
    <w:rsid w:val="3B7EE2F6"/>
    <w:rsid w:val="3BAF716B"/>
    <w:rsid w:val="3BBE5B33"/>
    <w:rsid w:val="3BF74460"/>
    <w:rsid w:val="3C014EAF"/>
    <w:rsid w:val="3C1418E0"/>
    <w:rsid w:val="3C335C3C"/>
    <w:rsid w:val="3C756255"/>
    <w:rsid w:val="3C806687"/>
    <w:rsid w:val="3C8B748D"/>
    <w:rsid w:val="3CB7686D"/>
    <w:rsid w:val="3CB7D81E"/>
    <w:rsid w:val="3CD749CE"/>
    <w:rsid w:val="3CD77C8F"/>
    <w:rsid w:val="3CDF4DD3"/>
    <w:rsid w:val="3CFB1670"/>
    <w:rsid w:val="3CFFA0A6"/>
    <w:rsid w:val="3D14630B"/>
    <w:rsid w:val="3D211F38"/>
    <w:rsid w:val="3D2739F3"/>
    <w:rsid w:val="3D47277C"/>
    <w:rsid w:val="3D595B76"/>
    <w:rsid w:val="3D896010"/>
    <w:rsid w:val="3D8A5D30"/>
    <w:rsid w:val="3D91DB8D"/>
    <w:rsid w:val="3DA908AC"/>
    <w:rsid w:val="3DA9388D"/>
    <w:rsid w:val="3DFA2EB5"/>
    <w:rsid w:val="3E4E4DAE"/>
    <w:rsid w:val="3E642A25"/>
    <w:rsid w:val="3E7FE6A3"/>
    <w:rsid w:val="3E8A1853"/>
    <w:rsid w:val="3EB5502E"/>
    <w:rsid w:val="3EBF166B"/>
    <w:rsid w:val="3ECA0ADA"/>
    <w:rsid w:val="3EEE4794"/>
    <w:rsid w:val="3EF77B20"/>
    <w:rsid w:val="3F2969DF"/>
    <w:rsid w:val="3F3BC1AC"/>
    <w:rsid w:val="3F514D57"/>
    <w:rsid w:val="3F57C4E9"/>
    <w:rsid w:val="3F5900B0"/>
    <w:rsid w:val="3F5FAC4F"/>
    <w:rsid w:val="3F647F5B"/>
    <w:rsid w:val="3FA43CE3"/>
    <w:rsid w:val="3FB7BBA4"/>
    <w:rsid w:val="3FBD03FA"/>
    <w:rsid w:val="3FBF3E0E"/>
    <w:rsid w:val="3FBF9D1F"/>
    <w:rsid w:val="3FDF3D37"/>
    <w:rsid w:val="3FE6171A"/>
    <w:rsid w:val="3FED4AD1"/>
    <w:rsid w:val="3FEDAA5A"/>
    <w:rsid w:val="3FF63A7F"/>
    <w:rsid w:val="3FF6F2E4"/>
    <w:rsid w:val="3FF7CFD1"/>
    <w:rsid w:val="3FFC406D"/>
    <w:rsid w:val="3FFE61F2"/>
    <w:rsid w:val="3FFE69BD"/>
    <w:rsid w:val="401069C0"/>
    <w:rsid w:val="406003BF"/>
    <w:rsid w:val="40600FF9"/>
    <w:rsid w:val="408178BE"/>
    <w:rsid w:val="40864ED4"/>
    <w:rsid w:val="40EC2905"/>
    <w:rsid w:val="415B4202"/>
    <w:rsid w:val="419E1DAA"/>
    <w:rsid w:val="41C07F72"/>
    <w:rsid w:val="41D103D1"/>
    <w:rsid w:val="41E77BF5"/>
    <w:rsid w:val="42094969"/>
    <w:rsid w:val="421A3B26"/>
    <w:rsid w:val="422624CB"/>
    <w:rsid w:val="422D7327"/>
    <w:rsid w:val="42526FCC"/>
    <w:rsid w:val="42772D26"/>
    <w:rsid w:val="42AC04F6"/>
    <w:rsid w:val="42BE0955"/>
    <w:rsid w:val="42C11FB0"/>
    <w:rsid w:val="430F2F5F"/>
    <w:rsid w:val="431542ED"/>
    <w:rsid w:val="43655275"/>
    <w:rsid w:val="43983092"/>
    <w:rsid w:val="439D67BD"/>
    <w:rsid w:val="43A9687B"/>
    <w:rsid w:val="43B81E8C"/>
    <w:rsid w:val="43BD1391"/>
    <w:rsid w:val="43E16253"/>
    <w:rsid w:val="43F62371"/>
    <w:rsid w:val="43FA2FC9"/>
    <w:rsid w:val="440A01B1"/>
    <w:rsid w:val="4430758F"/>
    <w:rsid w:val="444B0C2D"/>
    <w:rsid w:val="445C40CF"/>
    <w:rsid w:val="44861074"/>
    <w:rsid w:val="448E425A"/>
    <w:rsid w:val="44D65FFB"/>
    <w:rsid w:val="44D90B4B"/>
    <w:rsid w:val="44DC02F0"/>
    <w:rsid w:val="44F22952"/>
    <w:rsid w:val="4508174E"/>
    <w:rsid w:val="4517041B"/>
    <w:rsid w:val="453E7B2C"/>
    <w:rsid w:val="4561047D"/>
    <w:rsid w:val="457B0D80"/>
    <w:rsid w:val="45E2495B"/>
    <w:rsid w:val="460E39A2"/>
    <w:rsid w:val="46245667"/>
    <w:rsid w:val="464B5EF2"/>
    <w:rsid w:val="468123C6"/>
    <w:rsid w:val="46BF2EEE"/>
    <w:rsid w:val="46C125F8"/>
    <w:rsid w:val="46C93D6D"/>
    <w:rsid w:val="46D7BC68"/>
    <w:rsid w:val="46DA1FE0"/>
    <w:rsid w:val="46DF2D3D"/>
    <w:rsid w:val="46F27926"/>
    <w:rsid w:val="46FC9EBA"/>
    <w:rsid w:val="46FFF96A"/>
    <w:rsid w:val="4723522B"/>
    <w:rsid w:val="475B669D"/>
    <w:rsid w:val="47C770A2"/>
    <w:rsid w:val="47DE0AE9"/>
    <w:rsid w:val="47F443D5"/>
    <w:rsid w:val="481D4186"/>
    <w:rsid w:val="481E3C44"/>
    <w:rsid w:val="482374AD"/>
    <w:rsid w:val="488A2442"/>
    <w:rsid w:val="489857A5"/>
    <w:rsid w:val="48C02FF9"/>
    <w:rsid w:val="48D252CE"/>
    <w:rsid w:val="48E1539E"/>
    <w:rsid w:val="48E64762"/>
    <w:rsid w:val="48FF5476"/>
    <w:rsid w:val="492C413F"/>
    <w:rsid w:val="492D2CEA"/>
    <w:rsid w:val="49301E81"/>
    <w:rsid w:val="49570D63"/>
    <w:rsid w:val="49816B00"/>
    <w:rsid w:val="49B83311"/>
    <w:rsid w:val="4A3F67C0"/>
    <w:rsid w:val="4A490B3A"/>
    <w:rsid w:val="4A6022F2"/>
    <w:rsid w:val="4A79C00A"/>
    <w:rsid w:val="4AB2387D"/>
    <w:rsid w:val="4AF33166"/>
    <w:rsid w:val="4AFC754C"/>
    <w:rsid w:val="4BA206E8"/>
    <w:rsid w:val="4BB27E14"/>
    <w:rsid w:val="4BC93EC7"/>
    <w:rsid w:val="4BCE0083"/>
    <w:rsid w:val="4BF55108"/>
    <w:rsid w:val="4C1F525F"/>
    <w:rsid w:val="4C327011"/>
    <w:rsid w:val="4C969067"/>
    <w:rsid w:val="4CF07121"/>
    <w:rsid w:val="4CF51418"/>
    <w:rsid w:val="4CFE511F"/>
    <w:rsid w:val="4D014FF3"/>
    <w:rsid w:val="4D2C2AFF"/>
    <w:rsid w:val="4D7079F2"/>
    <w:rsid w:val="4D814A59"/>
    <w:rsid w:val="4D8602C2"/>
    <w:rsid w:val="4DBF37C5"/>
    <w:rsid w:val="4E4F6905"/>
    <w:rsid w:val="4E8D38D2"/>
    <w:rsid w:val="4E96026A"/>
    <w:rsid w:val="4E994025"/>
    <w:rsid w:val="4E9C3AEC"/>
    <w:rsid w:val="4F0D34E4"/>
    <w:rsid w:val="4F171DF0"/>
    <w:rsid w:val="4F18319B"/>
    <w:rsid w:val="4F365D17"/>
    <w:rsid w:val="4F447319"/>
    <w:rsid w:val="4F740094"/>
    <w:rsid w:val="4FB6EE1E"/>
    <w:rsid w:val="4FCA417A"/>
    <w:rsid w:val="4FF3EB67"/>
    <w:rsid w:val="502D711A"/>
    <w:rsid w:val="506315B6"/>
    <w:rsid w:val="50A21E24"/>
    <w:rsid w:val="50AB1369"/>
    <w:rsid w:val="50B77EE4"/>
    <w:rsid w:val="50B87444"/>
    <w:rsid w:val="5144471C"/>
    <w:rsid w:val="516F4F63"/>
    <w:rsid w:val="517F0729"/>
    <w:rsid w:val="518D6890"/>
    <w:rsid w:val="51965D4C"/>
    <w:rsid w:val="51EF7C55"/>
    <w:rsid w:val="525C3CE7"/>
    <w:rsid w:val="526A01B2"/>
    <w:rsid w:val="52C32361"/>
    <w:rsid w:val="52F40FEE"/>
    <w:rsid w:val="53051C89"/>
    <w:rsid w:val="53051FC4"/>
    <w:rsid w:val="530618E0"/>
    <w:rsid w:val="53442347"/>
    <w:rsid w:val="5349426B"/>
    <w:rsid w:val="534F26C7"/>
    <w:rsid w:val="535F87D3"/>
    <w:rsid w:val="537D158C"/>
    <w:rsid w:val="53907E88"/>
    <w:rsid w:val="53A45945"/>
    <w:rsid w:val="53CFEF12"/>
    <w:rsid w:val="53E561A3"/>
    <w:rsid w:val="54295E4B"/>
    <w:rsid w:val="54510997"/>
    <w:rsid w:val="550167C3"/>
    <w:rsid w:val="555C482C"/>
    <w:rsid w:val="557914C7"/>
    <w:rsid w:val="559C0D47"/>
    <w:rsid w:val="559D606F"/>
    <w:rsid w:val="55A27946"/>
    <w:rsid w:val="55B27072"/>
    <w:rsid w:val="55DF2C65"/>
    <w:rsid w:val="55F02EB2"/>
    <w:rsid w:val="560938C0"/>
    <w:rsid w:val="561E4F4B"/>
    <w:rsid w:val="56580B20"/>
    <w:rsid w:val="56691C10"/>
    <w:rsid w:val="56867584"/>
    <w:rsid w:val="569D22F7"/>
    <w:rsid w:val="56A83DF9"/>
    <w:rsid w:val="56EA64DB"/>
    <w:rsid w:val="57AA1051"/>
    <w:rsid w:val="57AA81BA"/>
    <w:rsid w:val="57CA0634"/>
    <w:rsid w:val="57F329F7"/>
    <w:rsid w:val="57F37AFA"/>
    <w:rsid w:val="57FC3E99"/>
    <w:rsid w:val="588D79A2"/>
    <w:rsid w:val="58927C67"/>
    <w:rsid w:val="58BFBF52"/>
    <w:rsid w:val="58E81E30"/>
    <w:rsid w:val="590B5B1F"/>
    <w:rsid w:val="59196952"/>
    <w:rsid w:val="596D7692"/>
    <w:rsid w:val="596E2CEE"/>
    <w:rsid w:val="597907CF"/>
    <w:rsid w:val="59B47806"/>
    <w:rsid w:val="59D2488F"/>
    <w:rsid w:val="59EF621A"/>
    <w:rsid w:val="59FF784F"/>
    <w:rsid w:val="5A042160"/>
    <w:rsid w:val="5A13643F"/>
    <w:rsid w:val="5A290952"/>
    <w:rsid w:val="5A3BAD45"/>
    <w:rsid w:val="5A572593"/>
    <w:rsid w:val="5A581238"/>
    <w:rsid w:val="5A6C4CE3"/>
    <w:rsid w:val="5ADF44D6"/>
    <w:rsid w:val="5B0E7B48"/>
    <w:rsid w:val="5B394BC5"/>
    <w:rsid w:val="5B3FDECA"/>
    <w:rsid w:val="5B4FE70A"/>
    <w:rsid w:val="5B8C2390"/>
    <w:rsid w:val="5BAFA598"/>
    <w:rsid w:val="5BE07737"/>
    <w:rsid w:val="5BE663CF"/>
    <w:rsid w:val="5BF14209"/>
    <w:rsid w:val="5BF24CF0"/>
    <w:rsid w:val="5BFB159F"/>
    <w:rsid w:val="5BFF5E71"/>
    <w:rsid w:val="5BFF9F4D"/>
    <w:rsid w:val="5BFFAC60"/>
    <w:rsid w:val="5C080BF2"/>
    <w:rsid w:val="5C453644"/>
    <w:rsid w:val="5CF30D95"/>
    <w:rsid w:val="5D467A6D"/>
    <w:rsid w:val="5D7E7207"/>
    <w:rsid w:val="5D813E06"/>
    <w:rsid w:val="5DA2892B"/>
    <w:rsid w:val="5DA84284"/>
    <w:rsid w:val="5DBFA6BB"/>
    <w:rsid w:val="5DF06209"/>
    <w:rsid w:val="5DF2482E"/>
    <w:rsid w:val="5DFF9D49"/>
    <w:rsid w:val="5E261701"/>
    <w:rsid w:val="5E3873B6"/>
    <w:rsid w:val="5E5F1C31"/>
    <w:rsid w:val="5E5F3927"/>
    <w:rsid w:val="5E6E102A"/>
    <w:rsid w:val="5EB72078"/>
    <w:rsid w:val="5EB904CA"/>
    <w:rsid w:val="5EBB583D"/>
    <w:rsid w:val="5ECE349A"/>
    <w:rsid w:val="5ED15115"/>
    <w:rsid w:val="5EDF4A88"/>
    <w:rsid w:val="5EEE9B33"/>
    <w:rsid w:val="5EF57F77"/>
    <w:rsid w:val="5EF780F4"/>
    <w:rsid w:val="5EFF8F8C"/>
    <w:rsid w:val="5F047298"/>
    <w:rsid w:val="5F057986"/>
    <w:rsid w:val="5F0E9FBA"/>
    <w:rsid w:val="5F3F93BE"/>
    <w:rsid w:val="5F582DAC"/>
    <w:rsid w:val="5F631BA6"/>
    <w:rsid w:val="5F6A0A64"/>
    <w:rsid w:val="5F766839"/>
    <w:rsid w:val="5F774FB2"/>
    <w:rsid w:val="5F777701"/>
    <w:rsid w:val="5F90740D"/>
    <w:rsid w:val="5F9F2156"/>
    <w:rsid w:val="5F9F3FFB"/>
    <w:rsid w:val="5FA152C7"/>
    <w:rsid w:val="5FD01870"/>
    <w:rsid w:val="5FD8141C"/>
    <w:rsid w:val="5FE34C07"/>
    <w:rsid w:val="5FE86BBA"/>
    <w:rsid w:val="5FF79C85"/>
    <w:rsid w:val="5FF9BAAA"/>
    <w:rsid w:val="5FFF3934"/>
    <w:rsid w:val="5FFFA876"/>
    <w:rsid w:val="6025090E"/>
    <w:rsid w:val="604858AA"/>
    <w:rsid w:val="607D37A6"/>
    <w:rsid w:val="609F4BBD"/>
    <w:rsid w:val="60D661A7"/>
    <w:rsid w:val="61037C0C"/>
    <w:rsid w:val="616B2214"/>
    <w:rsid w:val="618F2C81"/>
    <w:rsid w:val="61EE4DA8"/>
    <w:rsid w:val="621C6FEF"/>
    <w:rsid w:val="62225D10"/>
    <w:rsid w:val="623577C3"/>
    <w:rsid w:val="62500A46"/>
    <w:rsid w:val="62A25746"/>
    <w:rsid w:val="62D701C0"/>
    <w:rsid w:val="62F650EA"/>
    <w:rsid w:val="636B2E53"/>
    <w:rsid w:val="63871937"/>
    <w:rsid w:val="639A466F"/>
    <w:rsid w:val="63DA798E"/>
    <w:rsid w:val="63DF6B3F"/>
    <w:rsid w:val="63EB3090"/>
    <w:rsid w:val="63F78734"/>
    <w:rsid w:val="63FC2C34"/>
    <w:rsid w:val="641C68CD"/>
    <w:rsid w:val="643F2F89"/>
    <w:rsid w:val="645E744B"/>
    <w:rsid w:val="64754700"/>
    <w:rsid w:val="6475524D"/>
    <w:rsid w:val="64925CAD"/>
    <w:rsid w:val="64D12E72"/>
    <w:rsid w:val="64DD80BB"/>
    <w:rsid w:val="6511270F"/>
    <w:rsid w:val="65242442"/>
    <w:rsid w:val="654C1999"/>
    <w:rsid w:val="654E44E7"/>
    <w:rsid w:val="65797E7F"/>
    <w:rsid w:val="65A610A9"/>
    <w:rsid w:val="65CD2ADA"/>
    <w:rsid w:val="65E120E1"/>
    <w:rsid w:val="65F23B7A"/>
    <w:rsid w:val="65F500B5"/>
    <w:rsid w:val="65F55903"/>
    <w:rsid w:val="65FC298D"/>
    <w:rsid w:val="665F66DE"/>
    <w:rsid w:val="667016B7"/>
    <w:rsid w:val="66A54D49"/>
    <w:rsid w:val="66DD4F9F"/>
    <w:rsid w:val="66E72B13"/>
    <w:rsid w:val="66FB71D3"/>
    <w:rsid w:val="67832A1C"/>
    <w:rsid w:val="678418BE"/>
    <w:rsid w:val="67AE324E"/>
    <w:rsid w:val="67AFE32E"/>
    <w:rsid w:val="67C9069F"/>
    <w:rsid w:val="67D275A4"/>
    <w:rsid w:val="67D77C40"/>
    <w:rsid w:val="67DBFEA7"/>
    <w:rsid w:val="67EB24B4"/>
    <w:rsid w:val="67F47A0D"/>
    <w:rsid w:val="68183DB4"/>
    <w:rsid w:val="68312439"/>
    <w:rsid w:val="68376930"/>
    <w:rsid w:val="68A65864"/>
    <w:rsid w:val="68F78394"/>
    <w:rsid w:val="691128AE"/>
    <w:rsid w:val="6911372F"/>
    <w:rsid w:val="69781B4C"/>
    <w:rsid w:val="698773AA"/>
    <w:rsid w:val="69AF20DF"/>
    <w:rsid w:val="69BC29B9"/>
    <w:rsid w:val="69C93F3E"/>
    <w:rsid w:val="69D4D088"/>
    <w:rsid w:val="69DC778F"/>
    <w:rsid w:val="69DF783F"/>
    <w:rsid w:val="69F55430"/>
    <w:rsid w:val="6A0B2273"/>
    <w:rsid w:val="6A154A4F"/>
    <w:rsid w:val="6A1F767C"/>
    <w:rsid w:val="6A3F1672"/>
    <w:rsid w:val="6A6E6A3F"/>
    <w:rsid w:val="6A7DC649"/>
    <w:rsid w:val="6A903094"/>
    <w:rsid w:val="6AA94F2B"/>
    <w:rsid w:val="6ABE6E95"/>
    <w:rsid w:val="6AC9463C"/>
    <w:rsid w:val="6B1D7377"/>
    <w:rsid w:val="6B790D47"/>
    <w:rsid w:val="6B9CC704"/>
    <w:rsid w:val="6BB54071"/>
    <w:rsid w:val="6BE91D42"/>
    <w:rsid w:val="6BF9C379"/>
    <w:rsid w:val="6C0D763B"/>
    <w:rsid w:val="6C393FB8"/>
    <w:rsid w:val="6C737AD0"/>
    <w:rsid w:val="6C9D0D2C"/>
    <w:rsid w:val="6CEF3903"/>
    <w:rsid w:val="6CF3094C"/>
    <w:rsid w:val="6D28242A"/>
    <w:rsid w:val="6D6C0E2A"/>
    <w:rsid w:val="6D7D60AA"/>
    <w:rsid w:val="6D920165"/>
    <w:rsid w:val="6D96BB80"/>
    <w:rsid w:val="6D978D98"/>
    <w:rsid w:val="6D9B0389"/>
    <w:rsid w:val="6DBC3CD7"/>
    <w:rsid w:val="6DCE3893"/>
    <w:rsid w:val="6DDE4FBC"/>
    <w:rsid w:val="6DFE5917"/>
    <w:rsid w:val="6DFE7C0C"/>
    <w:rsid w:val="6E4771A1"/>
    <w:rsid w:val="6E485CD6"/>
    <w:rsid w:val="6E7A30D3"/>
    <w:rsid w:val="6E7BA24E"/>
    <w:rsid w:val="6E8E4DD0"/>
    <w:rsid w:val="6E91027B"/>
    <w:rsid w:val="6EAC7ED2"/>
    <w:rsid w:val="6ED50C51"/>
    <w:rsid w:val="6EEC5A9B"/>
    <w:rsid w:val="6EEFFE36"/>
    <w:rsid w:val="6EF7507D"/>
    <w:rsid w:val="6EFFB48E"/>
    <w:rsid w:val="6F142311"/>
    <w:rsid w:val="6F2DA5FC"/>
    <w:rsid w:val="6F4FB4AE"/>
    <w:rsid w:val="6F5222A2"/>
    <w:rsid w:val="6F5F299A"/>
    <w:rsid w:val="6F611B12"/>
    <w:rsid w:val="6F6BA13B"/>
    <w:rsid w:val="6F775864"/>
    <w:rsid w:val="6F7B09E1"/>
    <w:rsid w:val="6FBEB2B2"/>
    <w:rsid w:val="6FDE76B6"/>
    <w:rsid w:val="6FE48152"/>
    <w:rsid w:val="6FF368B4"/>
    <w:rsid w:val="6FF5A555"/>
    <w:rsid w:val="6FF8B2F8"/>
    <w:rsid w:val="6FFABD74"/>
    <w:rsid w:val="6FFCF300"/>
    <w:rsid w:val="6FFF18FC"/>
    <w:rsid w:val="6FFF532F"/>
    <w:rsid w:val="70187886"/>
    <w:rsid w:val="70880FDC"/>
    <w:rsid w:val="70A37328"/>
    <w:rsid w:val="70A95EF1"/>
    <w:rsid w:val="70C97301"/>
    <w:rsid w:val="71752B5F"/>
    <w:rsid w:val="718801FD"/>
    <w:rsid w:val="718F43CF"/>
    <w:rsid w:val="71B6414E"/>
    <w:rsid w:val="71BA8267"/>
    <w:rsid w:val="71C01D26"/>
    <w:rsid w:val="724D3CEF"/>
    <w:rsid w:val="72C94629"/>
    <w:rsid w:val="72D1172F"/>
    <w:rsid w:val="72FB2BA5"/>
    <w:rsid w:val="72FB5F5F"/>
    <w:rsid w:val="72FD796D"/>
    <w:rsid w:val="72FF44EF"/>
    <w:rsid w:val="73021285"/>
    <w:rsid w:val="730A49CC"/>
    <w:rsid w:val="7339D919"/>
    <w:rsid w:val="733DABEE"/>
    <w:rsid w:val="734E5692"/>
    <w:rsid w:val="735EA7BB"/>
    <w:rsid w:val="7377D8DC"/>
    <w:rsid w:val="73A56E44"/>
    <w:rsid w:val="73AD3B8D"/>
    <w:rsid w:val="73EBDBB3"/>
    <w:rsid w:val="73EF0C40"/>
    <w:rsid w:val="73F4E68A"/>
    <w:rsid w:val="7404447F"/>
    <w:rsid w:val="74142169"/>
    <w:rsid w:val="743B1777"/>
    <w:rsid w:val="743B3304"/>
    <w:rsid w:val="74413F6F"/>
    <w:rsid w:val="749B1FF5"/>
    <w:rsid w:val="74E572E2"/>
    <w:rsid w:val="74FFCD42"/>
    <w:rsid w:val="75126DC4"/>
    <w:rsid w:val="75184066"/>
    <w:rsid w:val="751E6355"/>
    <w:rsid w:val="7579996F"/>
    <w:rsid w:val="757E7EBE"/>
    <w:rsid w:val="757F0674"/>
    <w:rsid w:val="75937830"/>
    <w:rsid w:val="75AC07FE"/>
    <w:rsid w:val="75BDADC8"/>
    <w:rsid w:val="75E07AFF"/>
    <w:rsid w:val="75E63CC9"/>
    <w:rsid w:val="75EB5D3D"/>
    <w:rsid w:val="75F5CF35"/>
    <w:rsid w:val="75FADCF3"/>
    <w:rsid w:val="761774EA"/>
    <w:rsid w:val="761B1CDB"/>
    <w:rsid w:val="762229CE"/>
    <w:rsid w:val="7626341A"/>
    <w:rsid w:val="766A59E0"/>
    <w:rsid w:val="76726D86"/>
    <w:rsid w:val="769211D6"/>
    <w:rsid w:val="76D35A76"/>
    <w:rsid w:val="76E3869F"/>
    <w:rsid w:val="76E7BC04"/>
    <w:rsid w:val="76FBA68D"/>
    <w:rsid w:val="76FF9CA5"/>
    <w:rsid w:val="77020109"/>
    <w:rsid w:val="77274014"/>
    <w:rsid w:val="77447964"/>
    <w:rsid w:val="776D7F7C"/>
    <w:rsid w:val="777A4144"/>
    <w:rsid w:val="777B48AD"/>
    <w:rsid w:val="777B82A9"/>
    <w:rsid w:val="779E313E"/>
    <w:rsid w:val="779F493C"/>
    <w:rsid w:val="77B96B4B"/>
    <w:rsid w:val="77C7AC24"/>
    <w:rsid w:val="77EE24FA"/>
    <w:rsid w:val="78783CFF"/>
    <w:rsid w:val="78BB7662"/>
    <w:rsid w:val="78E32F08"/>
    <w:rsid w:val="7901707E"/>
    <w:rsid w:val="793D7B1F"/>
    <w:rsid w:val="7956568F"/>
    <w:rsid w:val="797CB939"/>
    <w:rsid w:val="798C63B0"/>
    <w:rsid w:val="799314ED"/>
    <w:rsid w:val="79A951B4"/>
    <w:rsid w:val="79B0104B"/>
    <w:rsid w:val="79B7B943"/>
    <w:rsid w:val="79E359A8"/>
    <w:rsid w:val="79E70D76"/>
    <w:rsid w:val="79F59838"/>
    <w:rsid w:val="79F81987"/>
    <w:rsid w:val="79FD121F"/>
    <w:rsid w:val="79FF597E"/>
    <w:rsid w:val="79FF7EC9"/>
    <w:rsid w:val="7A0D22BE"/>
    <w:rsid w:val="7A150432"/>
    <w:rsid w:val="7A350C52"/>
    <w:rsid w:val="7A560E98"/>
    <w:rsid w:val="7A7F22B1"/>
    <w:rsid w:val="7A9C048A"/>
    <w:rsid w:val="7A9E62BF"/>
    <w:rsid w:val="7AE043F9"/>
    <w:rsid w:val="7AE82E30"/>
    <w:rsid w:val="7AF82B69"/>
    <w:rsid w:val="7AFD1F73"/>
    <w:rsid w:val="7B6C701F"/>
    <w:rsid w:val="7B762E74"/>
    <w:rsid w:val="7B76A5D2"/>
    <w:rsid w:val="7B777D5E"/>
    <w:rsid w:val="7B7E1261"/>
    <w:rsid w:val="7B7E92AC"/>
    <w:rsid w:val="7B825CBD"/>
    <w:rsid w:val="7B9355FD"/>
    <w:rsid w:val="7BA3F833"/>
    <w:rsid w:val="7BBA0E0B"/>
    <w:rsid w:val="7C4838A5"/>
    <w:rsid w:val="7C621C44"/>
    <w:rsid w:val="7C741D2B"/>
    <w:rsid w:val="7C9F5CB3"/>
    <w:rsid w:val="7CA56C0D"/>
    <w:rsid w:val="7CB6CE93"/>
    <w:rsid w:val="7CC230AB"/>
    <w:rsid w:val="7CCA21A3"/>
    <w:rsid w:val="7CD12A58"/>
    <w:rsid w:val="7CFB2EAB"/>
    <w:rsid w:val="7CFDC0C0"/>
    <w:rsid w:val="7D341733"/>
    <w:rsid w:val="7D366D5F"/>
    <w:rsid w:val="7D6F6669"/>
    <w:rsid w:val="7D7F1AC0"/>
    <w:rsid w:val="7D9F106C"/>
    <w:rsid w:val="7DAC6BE7"/>
    <w:rsid w:val="7DAE4B47"/>
    <w:rsid w:val="7DC40F79"/>
    <w:rsid w:val="7DD65757"/>
    <w:rsid w:val="7DD6E293"/>
    <w:rsid w:val="7DEAAC6C"/>
    <w:rsid w:val="7DEFA8B3"/>
    <w:rsid w:val="7DF292F5"/>
    <w:rsid w:val="7DF299AF"/>
    <w:rsid w:val="7DF642B2"/>
    <w:rsid w:val="7DFAB1DD"/>
    <w:rsid w:val="7DFB7810"/>
    <w:rsid w:val="7DFB8422"/>
    <w:rsid w:val="7DFD2ACB"/>
    <w:rsid w:val="7DFF1566"/>
    <w:rsid w:val="7DFF2E19"/>
    <w:rsid w:val="7E0E1A8A"/>
    <w:rsid w:val="7E0F6E22"/>
    <w:rsid w:val="7E5C2CD8"/>
    <w:rsid w:val="7E7B2D5F"/>
    <w:rsid w:val="7E7CFA72"/>
    <w:rsid w:val="7E834226"/>
    <w:rsid w:val="7EA1645A"/>
    <w:rsid w:val="7EB50157"/>
    <w:rsid w:val="7EBDCF9C"/>
    <w:rsid w:val="7EBF60F5"/>
    <w:rsid w:val="7EC3FD88"/>
    <w:rsid w:val="7EC79A04"/>
    <w:rsid w:val="7ECADA17"/>
    <w:rsid w:val="7EDFF80D"/>
    <w:rsid w:val="7EE66563"/>
    <w:rsid w:val="7EF7DE72"/>
    <w:rsid w:val="7EFF11E8"/>
    <w:rsid w:val="7F166E48"/>
    <w:rsid w:val="7F1F5683"/>
    <w:rsid w:val="7F2FCAD0"/>
    <w:rsid w:val="7F3015A5"/>
    <w:rsid w:val="7F3247B2"/>
    <w:rsid w:val="7F337E54"/>
    <w:rsid w:val="7F4E5C33"/>
    <w:rsid w:val="7F527999"/>
    <w:rsid w:val="7F67C8B7"/>
    <w:rsid w:val="7F6A399E"/>
    <w:rsid w:val="7F6C44C8"/>
    <w:rsid w:val="7F7B3358"/>
    <w:rsid w:val="7F7F2178"/>
    <w:rsid w:val="7F9D1820"/>
    <w:rsid w:val="7FAF7AD5"/>
    <w:rsid w:val="7FB4DE01"/>
    <w:rsid w:val="7FB75603"/>
    <w:rsid w:val="7FBE06CD"/>
    <w:rsid w:val="7FBF3D43"/>
    <w:rsid w:val="7FC3383B"/>
    <w:rsid w:val="7FC725E0"/>
    <w:rsid w:val="7FD1F9D8"/>
    <w:rsid w:val="7FD3E1C2"/>
    <w:rsid w:val="7FDB3801"/>
    <w:rsid w:val="7FDC11CE"/>
    <w:rsid w:val="7FDCB7F4"/>
    <w:rsid w:val="7FDEB114"/>
    <w:rsid w:val="7FE72592"/>
    <w:rsid w:val="7FEF931D"/>
    <w:rsid w:val="7FEFAA83"/>
    <w:rsid w:val="7FF74A86"/>
    <w:rsid w:val="7FF7A0D3"/>
    <w:rsid w:val="7FF7AEC8"/>
    <w:rsid w:val="7FFB0FC0"/>
    <w:rsid w:val="7FFDE937"/>
    <w:rsid w:val="7FFF1503"/>
    <w:rsid w:val="7FFF1888"/>
    <w:rsid w:val="7FFF2072"/>
    <w:rsid w:val="7FFF2E02"/>
    <w:rsid w:val="7FFF6055"/>
    <w:rsid w:val="7FFF7342"/>
    <w:rsid w:val="7FFFD73E"/>
    <w:rsid w:val="82FFA643"/>
    <w:rsid w:val="863D47FC"/>
    <w:rsid w:val="88BEE80E"/>
    <w:rsid w:val="8AD5FD54"/>
    <w:rsid w:val="8F7E1E78"/>
    <w:rsid w:val="8FBA6AB6"/>
    <w:rsid w:val="936785A1"/>
    <w:rsid w:val="94F24A3F"/>
    <w:rsid w:val="97B5E66B"/>
    <w:rsid w:val="97E542F6"/>
    <w:rsid w:val="97FF62E7"/>
    <w:rsid w:val="98FF4BEB"/>
    <w:rsid w:val="9BEFD92D"/>
    <w:rsid w:val="9CFF2023"/>
    <w:rsid w:val="9D67D82B"/>
    <w:rsid w:val="9D7F8EBA"/>
    <w:rsid w:val="9DD71A06"/>
    <w:rsid w:val="9DF12714"/>
    <w:rsid w:val="9DFF068A"/>
    <w:rsid w:val="9DFF9607"/>
    <w:rsid w:val="9F67F7BA"/>
    <w:rsid w:val="9F7E6829"/>
    <w:rsid w:val="9FD52C6B"/>
    <w:rsid w:val="9FEB89AC"/>
    <w:rsid w:val="9FFD23A4"/>
    <w:rsid w:val="9FFD4F05"/>
    <w:rsid w:val="9FFF0991"/>
    <w:rsid w:val="A55E23A9"/>
    <w:rsid w:val="A6AF16AC"/>
    <w:rsid w:val="A76F69A1"/>
    <w:rsid w:val="A7FF2B95"/>
    <w:rsid w:val="A9F4DF82"/>
    <w:rsid w:val="AABAB514"/>
    <w:rsid w:val="AAFDF0E8"/>
    <w:rsid w:val="AB3D51F0"/>
    <w:rsid w:val="ABBBCA4E"/>
    <w:rsid w:val="ABDD79EF"/>
    <w:rsid w:val="ACE519E4"/>
    <w:rsid w:val="ACFB0751"/>
    <w:rsid w:val="ACFB98EB"/>
    <w:rsid w:val="ADEE4A76"/>
    <w:rsid w:val="AF7B2110"/>
    <w:rsid w:val="AFAB5EBC"/>
    <w:rsid w:val="AFF42A65"/>
    <w:rsid w:val="B22B7282"/>
    <w:rsid w:val="B2BFA9BC"/>
    <w:rsid w:val="B43EFE6B"/>
    <w:rsid w:val="B49F4866"/>
    <w:rsid w:val="B5756D56"/>
    <w:rsid w:val="B57D5ECD"/>
    <w:rsid w:val="B647E8F3"/>
    <w:rsid w:val="B67FCA49"/>
    <w:rsid w:val="B6FBB747"/>
    <w:rsid w:val="B76FF1F2"/>
    <w:rsid w:val="B7B7E1AA"/>
    <w:rsid w:val="B7B9CD52"/>
    <w:rsid w:val="B7F39E99"/>
    <w:rsid w:val="B7F9A846"/>
    <w:rsid w:val="B7FB840A"/>
    <w:rsid w:val="B7FFD9CA"/>
    <w:rsid w:val="B9DF7EF2"/>
    <w:rsid w:val="B9FBCA7F"/>
    <w:rsid w:val="BA6A967C"/>
    <w:rsid w:val="BA7BF7E4"/>
    <w:rsid w:val="BABDDD7F"/>
    <w:rsid w:val="BB7E4F23"/>
    <w:rsid w:val="BB92A6CA"/>
    <w:rsid w:val="BBF5EFCD"/>
    <w:rsid w:val="BBF7AAD5"/>
    <w:rsid w:val="BBFDA7E3"/>
    <w:rsid w:val="BBFE22BF"/>
    <w:rsid w:val="BBFFB0DF"/>
    <w:rsid w:val="BD67CB00"/>
    <w:rsid w:val="BD6B463D"/>
    <w:rsid w:val="BDBBA233"/>
    <w:rsid w:val="BDBFD3A0"/>
    <w:rsid w:val="BDEA17D5"/>
    <w:rsid w:val="BDFFC1B5"/>
    <w:rsid w:val="BE977E35"/>
    <w:rsid w:val="BEBE22BF"/>
    <w:rsid w:val="BEDC56B6"/>
    <w:rsid w:val="BEEB27DE"/>
    <w:rsid w:val="BEEC7B2F"/>
    <w:rsid w:val="BEF9A9D2"/>
    <w:rsid w:val="BEFFFCEB"/>
    <w:rsid w:val="BF3F284C"/>
    <w:rsid w:val="BF525407"/>
    <w:rsid w:val="BF73492C"/>
    <w:rsid w:val="BF73D49D"/>
    <w:rsid w:val="BF7F8CEE"/>
    <w:rsid w:val="BF9F762E"/>
    <w:rsid w:val="BFDFA06A"/>
    <w:rsid w:val="BFEED3F1"/>
    <w:rsid w:val="BFFB5559"/>
    <w:rsid w:val="BFFCBD87"/>
    <w:rsid w:val="BFFF4FB1"/>
    <w:rsid w:val="BFFF9432"/>
    <w:rsid w:val="C5BF6232"/>
    <w:rsid w:val="C6ADD2ED"/>
    <w:rsid w:val="C6BDD12C"/>
    <w:rsid w:val="C99875D1"/>
    <w:rsid w:val="C9DFDFDC"/>
    <w:rsid w:val="CBFD6DF7"/>
    <w:rsid w:val="CCFF21F4"/>
    <w:rsid w:val="CDF63FA7"/>
    <w:rsid w:val="CEEF5D06"/>
    <w:rsid w:val="CF9F0711"/>
    <w:rsid w:val="CFBF63E6"/>
    <w:rsid w:val="CFDB2FBA"/>
    <w:rsid w:val="D2F83AAF"/>
    <w:rsid w:val="D5AFED20"/>
    <w:rsid w:val="D6B67A59"/>
    <w:rsid w:val="D6D3B628"/>
    <w:rsid w:val="D6DF43B0"/>
    <w:rsid w:val="D78D3B32"/>
    <w:rsid w:val="D7BBA5AA"/>
    <w:rsid w:val="D7CB94EF"/>
    <w:rsid w:val="D7FA84A0"/>
    <w:rsid w:val="D8967989"/>
    <w:rsid w:val="D91BD9A1"/>
    <w:rsid w:val="DB7E4C62"/>
    <w:rsid w:val="DB7E7B70"/>
    <w:rsid w:val="DBACDEDA"/>
    <w:rsid w:val="DBF74019"/>
    <w:rsid w:val="DC771C17"/>
    <w:rsid w:val="DD66FDA3"/>
    <w:rsid w:val="DD7CB79F"/>
    <w:rsid w:val="DD9532A7"/>
    <w:rsid w:val="DDFD5B8A"/>
    <w:rsid w:val="DE6C718C"/>
    <w:rsid w:val="DE995219"/>
    <w:rsid w:val="DF5EDCCD"/>
    <w:rsid w:val="DF6B2741"/>
    <w:rsid w:val="DF7D1749"/>
    <w:rsid w:val="DF7F18E7"/>
    <w:rsid w:val="DF7F2E0D"/>
    <w:rsid w:val="DFB7A507"/>
    <w:rsid w:val="DFBDDC7D"/>
    <w:rsid w:val="DFCAB0B0"/>
    <w:rsid w:val="DFDFB8B0"/>
    <w:rsid w:val="DFEEC250"/>
    <w:rsid w:val="DFF90768"/>
    <w:rsid w:val="DFF965B1"/>
    <w:rsid w:val="DFFD11A2"/>
    <w:rsid w:val="DFFF0CD5"/>
    <w:rsid w:val="DFFFCA4D"/>
    <w:rsid w:val="DFFFE09F"/>
    <w:rsid w:val="DFFFEE08"/>
    <w:rsid w:val="E5FBF42B"/>
    <w:rsid w:val="E6DC9E29"/>
    <w:rsid w:val="E75F241E"/>
    <w:rsid w:val="E79F5377"/>
    <w:rsid w:val="E7BD7AF2"/>
    <w:rsid w:val="E7EF1FAE"/>
    <w:rsid w:val="EADD495F"/>
    <w:rsid w:val="EAFE9B7B"/>
    <w:rsid w:val="EB6E1328"/>
    <w:rsid w:val="EB74D265"/>
    <w:rsid w:val="EBBF5D20"/>
    <w:rsid w:val="EBEDC4D1"/>
    <w:rsid w:val="EC3F0DBE"/>
    <w:rsid w:val="ECB1000B"/>
    <w:rsid w:val="ED7D5177"/>
    <w:rsid w:val="EDA7569E"/>
    <w:rsid w:val="EE5F8759"/>
    <w:rsid w:val="EE6F79AA"/>
    <w:rsid w:val="EE78CDD8"/>
    <w:rsid w:val="EE7F8CC6"/>
    <w:rsid w:val="EEFF03D8"/>
    <w:rsid w:val="EF134579"/>
    <w:rsid w:val="EF2D5511"/>
    <w:rsid w:val="EF3D76C9"/>
    <w:rsid w:val="EF791746"/>
    <w:rsid w:val="EF7FF50C"/>
    <w:rsid w:val="EFBED040"/>
    <w:rsid w:val="EFBF7546"/>
    <w:rsid w:val="EFD13873"/>
    <w:rsid w:val="EFFB7DD6"/>
    <w:rsid w:val="EFFD35E5"/>
    <w:rsid w:val="EFFFAB52"/>
    <w:rsid w:val="F0B33B1B"/>
    <w:rsid w:val="F2F797E8"/>
    <w:rsid w:val="F2F94284"/>
    <w:rsid w:val="F37B4195"/>
    <w:rsid w:val="F3C60B11"/>
    <w:rsid w:val="F3F29DDE"/>
    <w:rsid w:val="F4571FF6"/>
    <w:rsid w:val="F4FB32C7"/>
    <w:rsid w:val="F55F283C"/>
    <w:rsid w:val="F5F27FF0"/>
    <w:rsid w:val="F66F5504"/>
    <w:rsid w:val="F6FE07C2"/>
    <w:rsid w:val="F6FFC024"/>
    <w:rsid w:val="F726FD8B"/>
    <w:rsid w:val="F76D7CB5"/>
    <w:rsid w:val="F77FA417"/>
    <w:rsid w:val="F79F9267"/>
    <w:rsid w:val="F7B9B69C"/>
    <w:rsid w:val="F7FFB40B"/>
    <w:rsid w:val="F875E5F7"/>
    <w:rsid w:val="F9BB337B"/>
    <w:rsid w:val="FA7F00F1"/>
    <w:rsid w:val="FAA4BBB7"/>
    <w:rsid w:val="FAFE8FB5"/>
    <w:rsid w:val="FAFFC197"/>
    <w:rsid w:val="FB3F36D5"/>
    <w:rsid w:val="FB797F2A"/>
    <w:rsid w:val="FBCD3BEA"/>
    <w:rsid w:val="FBCF81A7"/>
    <w:rsid w:val="FBDA185F"/>
    <w:rsid w:val="FBF3CF64"/>
    <w:rsid w:val="FBF79808"/>
    <w:rsid w:val="FBFFA916"/>
    <w:rsid w:val="FC3B3B24"/>
    <w:rsid w:val="FCD2926D"/>
    <w:rsid w:val="FCEBDE6E"/>
    <w:rsid w:val="FCF5F61E"/>
    <w:rsid w:val="FCF66E62"/>
    <w:rsid w:val="FCFBF585"/>
    <w:rsid w:val="FCFEBBAE"/>
    <w:rsid w:val="FD7697D5"/>
    <w:rsid w:val="FDAA59F1"/>
    <w:rsid w:val="FDB643BE"/>
    <w:rsid w:val="FDDF9553"/>
    <w:rsid w:val="FDE766DF"/>
    <w:rsid w:val="FDE91D8C"/>
    <w:rsid w:val="FDEB25AE"/>
    <w:rsid w:val="FDEF1DC7"/>
    <w:rsid w:val="FDF99004"/>
    <w:rsid w:val="FDFE84B1"/>
    <w:rsid w:val="FDFE8767"/>
    <w:rsid w:val="FE5BFAA4"/>
    <w:rsid w:val="FE60B647"/>
    <w:rsid w:val="FE6F3066"/>
    <w:rsid w:val="FE77785F"/>
    <w:rsid w:val="FEAF6C35"/>
    <w:rsid w:val="FEBF01A2"/>
    <w:rsid w:val="FEBFF1BF"/>
    <w:rsid w:val="FECEBD72"/>
    <w:rsid w:val="FED75584"/>
    <w:rsid w:val="FEDD27F2"/>
    <w:rsid w:val="FEFB453F"/>
    <w:rsid w:val="FEFDDE8E"/>
    <w:rsid w:val="FEFF7F63"/>
    <w:rsid w:val="FEFFFF03"/>
    <w:rsid w:val="FF3FAFDB"/>
    <w:rsid w:val="FF47E5FC"/>
    <w:rsid w:val="FF5F7B3E"/>
    <w:rsid w:val="FF6FB143"/>
    <w:rsid w:val="FF77CDCC"/>
    <w:rsid w:val="FF7B8BDC"/>
    <w:rsid w:val="FF7BF254"/>
    <w:rsid w:val="FF7F42FC"/>
    <w:rsid w:val="FF9375E3"/>
    <w:rsid w:val="FF97773C"/>
    <w:rsid w:val="FF9E69AD"/>
    <w:rsid w:val="FFAD31EE"/>
    <w:rsid w:val="FFB97256"/>
    <w:rsid w:val="FFBD93F1"/>
    <w:rsid w:val="FFBFC4FB"/>
    <w:rsid w:val="FFCE4A5F"/>
    <w:rsid w:val="FFCF22E7"/>
    <w:rsid w:val="FFDD5D9B"/>
    <w:rsid w:val="FFDEE25A"/>
    <w:rsid w:val="FFDF1D2D"/>
    <w:rsid w:val="FFE13DA5"/>
    <w:rsid w:val="FFEA56D8"/>
    <w:rsid w:val="FFEF040A"/>
    <w:rsid w:val="FFEF0EDA"/>
    <w:rsid w:val="FFEF3AC1"/>
    <w:rsid w:val="FFF7CB13"/>
    <w:rsid w:val="FFFA37B0"/>
    <w:rsid w:val="FFFCD245"/>
    <w:rsid w:val="FFFDE7CE"/>
    <w:rsid w:val="FFFECE5D"/>
    <w:rsid w:val="FFFF3B0F"/>
    <w:rsid w:val="FFFF55FA"/>
    <w:rsid w:val="FFFF5B26"/>
    <w:rsid w:val="FFFF739E"/>
    <w:rsid w:val="FFFF9C1C"/>
    <w:rsid w:val="FFFFC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qFormat="1"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cs="Times New Roman" w:eastAsiaTheme="minorEastAsia"/>
      <w:color w:val="000000"/>
      <w:sz w:val="24"/>
      <w:lang w:val="en-US" w:eastAsia="zh-CN" w:bidi="ar-SA"/>
    </w:rPr>
  </w:style>
  <w:style w:type="paragraph" w:styleId="2">
    <w:name w:val="heading 1"/>
    <w:basedOn w:val="1"/>
    <w:next w:val="1"/>
    <w:qFormat/>
    <w:uiPriority w:val="9"/>
    <w:pPr>
      <w:keepNext/>
      <w:keepLines/>
      <w:spacing w:line="263" w:lineRule="exact"/>
      <w:outlineLvl w:val="0"/>
    </w:pPr>
    <w:rPr>
      <w:b/>
      <w:kern w:val="44"/>
      <w:sz w:val="44"/>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Date"/>
    <w:basedOn w:val="1"/>
    <w:next w:val="1"/>
    <w:unhideWhenUsed/>
    <w:qFormat/>
    <w:uiPriority w:val="0"/>
    <w:rPr>
      <w:rFonts w:hint="eastAsia" w:ascii="宋体" w:eastAsia="宋体"/>
      <w:sz w:val="21"/>
      <w:szCs w:val="24"/>
    </w:rPr>
  </w:style>
  <w:style w:type="paragraph" w:styleId="7">
    <w:name w:val="Balloon Text"/>
    <w:basedOn w:val="1"/>
    <w:link w:val="23"/>
    <w:semiHidden/>
    <w:unhideWhenUsed/>
    <w:qFormat/>
    <w:uiPriority w:val="99"/>
    <w:rPr>
      <w:sz w:val="18"/>
      <w:szCs w:val="18"/>
    </w:rPr>
  </w:style>
  <w:style w:type="paragraph" w:styleId="8">
    <w:name w:val="footer"/>
    <w:basedOn w:val="1"/>
    <w:link w:val="21"/>
    <w:semiHidden/>
    <w:unhideWhenUsed/>
    <w:qFormat/>
    <w:uiPriority w:val="99"/>
    <w:pPr>
      <w:tabs>
        <w:tab w:val="center" w:pos="4153"/>
        <w:tab w:val="right" w:pos="8306"/>
      </w:tabs>
      <w:snapToGrid w:val="0"/>
      <w:jc w:val="left"/>
    </w:pPr>
    <w:rPr>
      <w:sz w:val="18"/>
      <w:szCs w:val="18"/>
    </w:rPr>
  </w:style>
  <w:style w:type="paragraph" w:styleId="9">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semiHidden/>
    <w:unhideWhenUsed/>
    <w:qFormat/>
    <w:uiPriority w:val="39"/>
  </w:style>
  <w:style w:type="paragraph" w:styleId="11">
    <w:name w:val="footnote text"/>
    <w:basedOn w:val="1"/>
    <w:semiHidden/>
    <w:unhideWhenUsed/>
    <w:qFormat/>
    <w:uiPriority w:val="99"/>
    <w:pPr>
      <w:snapToGrid w:val="0"/>
      <w:jc w:val="left"/>
    </w:pPr>
    <w:rPr>
      <w:sz w:val="18"/>
    </w:rPr>
  </w:style>
  <w:style w:type="paragraph" w:styleId="12">
    <w:name w:val="Body Text 2"/>
    <w:basedOn w:val="1"/>
    <w:unhideWhenUsed/>
    <w:qFormat/>
    <w:uiPriority w:val="0"/>
    <w:pPr>
      <w:spacing w:after="120" w:line="480" w:lineRule="auto"/>
    </w:pPr>
    <w:rPr>
      <w:sz w:val="21"/>
      <w:szCs w:val="24"/>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0"/>
    <w:rPr>
      <w:b/>
    </w:rPr>
  </w:style>
  <w:style w:type="character" w:styleId="17">
    <w:name w:val="page number"/>
    <w:basedOn w:val="15"/>
    <w:unhideWhenUsed/>
    <w:qFormat/>
    <w:uiPriority w:val="0"/>
    <w:rPr>
      <w:rFonts w:hint="default"/>
      <w:sz w:val="24"/>
      <w:szCs w:val="24"/>
    </w:rPr>
  </w:style>
  <w:style w:type="character" w:styleId="18">
    <w:name w:val="annotation reference"/>
    <w:basedOn w:val="15"/>
    <w:semiHidden/>
    <w:unhideWhenUsed/>
    <w:qFormat/>
    <w:uiPriority w:val="99"/>
    <w:rPr>
      <w:sz w:val="21"/>
      <w:szCs w:val="21"/>
    </w:rPr>
  </w:style>
  <w:style w:type="character" w:styleId="19">
    <w:name w:val="footnote reference"/>
    <w:basedOn w:val="15"/>
    <w:semiHidden/>
    <w:unhideWhenUsed/>
    <w:qFormat/>
    <w:uiPriority w:val="99"/>
    <w:rPr>
      <w:vertAlign w:val="superscript"/>
    </w:rPr>
  </w:style>
  <w:style w:type="character" w:customStyle="1" w:styleId="20">
    <w:name w:val="页眉 Char"/>
    <w:basedOn w:val="15"/>
    <w:link w:val="9"/>
    <w:semiHidden/>
    <w:qFormat/>
    <w:uiPriority w:val="99"/>
    <w:rPr>
      <w:sz w:val="18"/>
      <w:szCs w:val="18"/>
    </w:rPr>
  </w:style>
  <w:style w:type="character" w:customStyle="1" w:styleId="21">
    <w:name w:val="页脚 Char"/>
    <w:basedOn w:val="15"/>
    <w:link w:val="8"/>
    <w:semiHidden/>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批注框文本 Char"/>
    <w:basedOn w:val="15"/>
    <w:link w:val="7"/>
    <w:semiHidden/>
    <w:qFormat/>
    <w:uiPriority w:val="99"/>
    <w:rPr>
      <w:rFonts w:ascii="Times New Roman" w:hAnsi="Times New Roman" w:cs="Times New Roman"/>
      <w:color w:val="000000"/>
      <w:kern w:val="0"/>
      <w:sz w:val="18"/>
      <w:szCs w:val="18"/>
    </w:rPr>
  </w:style>
  <w:style w:type="table" w:customStyle="1" w:styleId="24">
    <w:name w:val="Table Normal"/>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paragraph" w:customStyle="1" w:styleId="25">
    <w:name w:val="WPSOffice手动目录 1"/>
    <w:qFormat/>
    <w:uiPriority w:val="0"/>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52</Pages>
  <Words>6245</Words>
  <Characters>6596</Characters>
  <Lines>110</Lines>
  <Paragraphs>31</Paragraphs>
  <TotalTime>0</TotalTime>
  <ScaleCrop>false</ScaleCrop>
  <LinksUpToDate>false</LinksUpToDate>
  <CharactersWithSpaces>6730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2022-07-24T22:35:00Z</dcterms:created>
  <dc:creator>微软用户</dc:creator>
  <cp:lastModifiedBy>小熊</cp:lastModifiedBy>
  <cp:lastPrinted>2026-08-02T01:03:00Z</cp:lastPrinted>
  <dcterms:modified xsi:type="dcterms:W3CDTF">2026-08-19T14:10:55Z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730AF581CC014CCDA46B482D88ED4DDD_13</vt:lpwstr>
  </property>
  <property fmtid="{D5CDD505-2E9C-101B-9397-08002B2CF9AE}" pid="4" name="KSOTemplateDocerSaveRecord">
    <vt:lpwstr>eyJoZGlkIjoiOTdhN2I4OTVmMDA3NDQ2MjgwZTU3NzJhZGY0NDlkMzgiLCJ1c2VySWQiOiIzNjY1MTAzMDYifQ==</vt:lpwstr>
  </property>
</Properties>
</file>