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  <w:bookmarkStart w:id="0" w:name="_GoBack"/>
      <w:bookmarkEnd w:id="0"/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outlineLvl w:val="0"/>
        <w:rPr>
          <w:rFonts w:ascii="黑体" w:hAnsi="黑体" w:eastAsia="黑体" w:cs="黑体"/>
          <w:b/>
          <w:bCs/>
          <w:sz w:val="52"/>
          <w:szCs w:val="52"/>
          <w:lang w:bidi="ar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bidi="ar"/>
        </w:rPr>
        <w:t>第二部分  四川省标准化研究院</w:t>
      </w:r>
    </w:p>
    <w:p>
      <w:pPr>
        <w:pStyle w:val="7"/>
        <w:widowControl/>
        <w:spacing w:before="0" w:beforeAutospacing="0" w:after="0" w:afterAutospacing="0"/>
        <w:jc w:val="center"/>
        <w:outlineLvl w:val="1"/>
        <w:rPr>
          <w:rFonts w:ascii="黑体" w:hAnsi="黑体" w:eastAsia="黑体" w:cs="黑体"/>
          <w:b/>
          <w:bCs/>
          <w:sz w:val="52"/>
          <w:szCs w:val="52"/>
          <w:lang w:bidi="ar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bidi="ar"/>
        </w:rPr>
        <w:t>2022年单位预算表</w:t>
      </w:r>
    </w:p>
    <w:p>
      <w:pPr>
        <w:pStyle w:val="7"/>
        <w:widowControl/>
        <w:spacing w:before="450" w:beforeAutospacing="0" w:after="0" w:afterAutospacing="0" w:line="360" w:lineRule="atLeast"/>
        <w:ind w:left="420"/>
        <w:jc w:val="both"/>
        <w:rPr>
          <w:rFonts w:ascii="黑体" w:hAnsi="黑体" w:eastAsia="黑体" w:cs="黑体"/>
          <w:b/>
          <w:bCs/>
          <w:sz w:val="52"/>
          <w:szCs w:val="52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numberInDash" w:start="1"/>
          <w:cols w:space="720" w:num="1"/>
          <w:docGrid w:type="lines" w:linePitch="312" w:charSpace="0"/>
        </w:sectPr>
      </w:pPr>
    </w:p>
    <w:tbl>
      <w:tblPr>
        <w:tblStyle w:val="8"/>
        <w:tblW w:w="13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3"/>
        <w:gridCol w:w="1650"/>
        <w:gridCol w:w="4804"/>
        <w:gridCol w:w="1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1377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表1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部门收支总表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13770" w:type="dxa"/>
            <w:gridSpan w:val="4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单位：四川省标准化研究院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exact"/>
          <w:tblHeader/>
          <w:jc w:val="center"/>
        </w:trPr>
        <w:tc>
          <w:tcPr>
            <w:tcW w:w="7583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收    入</w:t>
            </w:r>
          </w:p>
        </w:tc>
        <w:tc>
          <w:tcPr>
            <w:tcW w:w="6187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支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项    目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预算数</w:t>
            </w: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项    目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 xml:space="preserve">一、一般公共预算拨款收入 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1,293.01</w:t>
            </w: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一、一般公共服务支出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486.17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 xml:space="preserve">二、政府性基金预算拨款收入 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二、外交支出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 xml:space="preserve">三、国有资本经营预算拨款收入 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三、国防支出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 xml:space="preserve">四、事业收入 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700.00</w:t>
            </w: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四、公共安全支出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 xml:space="preserve">五、事业单位经营收入 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五、教育支出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19.97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 xml:space="preserve">六、其他收入 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2.50</w:t>
            </w: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六、科学技术支出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1,897.29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七、文化旅游体育与传媒支出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八、社会保障和就业支出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331.54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九、社会保险基金支出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十、卫生健康支出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120.65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十一、节能环保支出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十二、城乡社区支出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十三、农林水支出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十四、交通运输支出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十五、资源勘探工业信息等支出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十六、商业服务业等支出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十七、金融支出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十八、援助其他地区支出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十九、自然资源海洋气象等支出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二十、住房保障支出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112.04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二十一、粮油物资储备支出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二十二、国有资本经营预算支出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二十三、灾害防治及应急管理支出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二十四、预备费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二十五、其他支出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二十六、转移性支出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二十七、债务还本支出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二十八、债务付息支出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二十九、债务发行费用支出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三十、抗疫特别国债安排的支出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16"/>
                <w:rFonts w:hint="default"/>
                <w:sz w:val="16"/>
                <w:szCs w:val="16"/>
                <w:lang w:bidi="ar"/>
              </w:rPr>
              <w:t>三十一、国库拨款专用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17"/>
                <w:rFonts w:hint="default"/>
                <w:sz w:val="16"/>
                <w:szCs w:val="16"/>
                <w:lang w:bidi="ar"/>
              </w:rPr>
              <w:t>本 年 收 入 合 计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1,970.51</w:t>
            </w: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17"/>
                <w:rFonts w:hint="default"/>
                <w:sz w:val="16"/>
                <w:szCs w:val="16"/>
                <w:lang w:bidi="ar"/>
              </w:rPr>
              <w:t>本 年 支 出 合 计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2,967.66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七、用事业基金弥补收支差额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三十一、事业单位结余分配 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八、上年结转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997.15</w:t>
            </w: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 xml:space="preserve">    其中：转入事业基金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rPr>
                <w:rFonts w:ascii="Hiragino Sans GB" w:hAnsi="Hiragino Sans GB" w:eastAsia="Hiragino Sans GB" w:cs="Hiragino Sans GB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vAlign w:val="center"/>
          </w:tcPr>
          <w:p>
            <w:pPr>
              <w:rPr>
                <w:rFonts w:ascii="Hiragino Sans GB" w:hAnsi="Hiragino Sans GB" w:eastAsia="Hiragino Sans GB" w:cs="Hiragino Sans GB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三十二、结转下年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exact"/>
          <w:tblHeader/>
          <w:jc w:val="center"/>
        </w:trPr>
        <w:tc>
          <w:tcPr>
            <w:tcW w:w="593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收  入  总  计</w:t>
            </w:r>
          </w:p>
        </w:tc>
        <w:tc>
          <w:tcPr>
            <w:tcW w:w="165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2,967.66</w:t>
            </w:r>
          </w:p>
        </w:tc>
        <w:tc>
          <w:tcPr>
            <w:tcW w:w="48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支  出  总  计</w:t>
            </w:r>
          </w:p>
        </w:tc>
        <w:tc>
          <w:tcPr>
            <w:tcW w:w="13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2,967.66</w:t>
            </w:r>
          </w:p>
        </w:tc>
      </w:tr>
    </w:tbl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footerReference r:id="rId4" w:type="default"/>
          <w:pgSz w:w="16838" w:h="11906" w:orient="landscape"/>
          <w:pgMar w:top="624" w:right="850" w:bottom="680" w:left="85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50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196"/>
        <w:gridCol w:w="1143"/>
        <w:gridCol w:w="1098"/>
        <w:gridCol w:w="1144"/>
        <w:gridCol w:w="1006"/>
        <w:gridCol w:w="1006"/>
        <w:gridCol w:w="1098"/>
        <w:gridCol w:w="1155"/>
        <w:gridCol w:w="1155"/>
        <w:gridCol w:w="1006"/>
        <w:gridCol w:w="1006"/>
        <w:gridCol w:w="1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033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表1-1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单位收入总表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2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1143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072" w:type="dxa"/>
            <w:gridSpan w:val="2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1143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9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上年结转</w:t>
            </w:r>
          </w:p>
        </w:tc>
        <w:tc>
          <w:tcPr>
            <w:tcW w:w="1144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一般公共预算拨款收入</w:t>
            </w:r>
          </w:p>
        </w:tc>
        <w:tc>
          <w:tcPr>
            <w:tcW w:w="100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政府性基金预算拨款收入</w:t>
            </w:r>
          </w:p>
        </w:tc>
        <w:tc>
          <w:tcPr>
            <w:tcW w:w="100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国有资本经营预算拨款收入</w:t>
            </w:r>
          </w:p>
        </w:tc>
        <w:tc>
          <w:tcPr>
            <w:tcW w:w="1098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1155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事业单位经营收入 </w:t>
            </w:r>
          </w:p>
        </w:tc>
        <w:tc>
          <w:tcPr>
            <w:tcW w:w="1155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其他收入</w:t>
            </w:r>
          </w:p>
        </w:tc>
        <w:tc>
          <w:tcPr>
            <w:tcW w:w="100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100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1144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用事业基金弥补收支差额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219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1143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14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2,992.66</w:t>
            </w:r>
          </w:p>
        </w:tc>
        <w:tc>
          <w:tcPr>
            <w:tcW w:w="109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997.15</w:t>
            </w:r>
          </w:p>
        </w:tc>
        <w:tc>
          <w:tcPr>
            <w:tcW w:w="114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1,293.01</w:t>
            </w:r>
          </w:p>
        </w:tc>
        <w:tc>
          <w:tcPr>
            <w:tcW w:w="10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700.00</w:t>
            </w:r>
          </w:p>
        </w:tc>
        <w:tc>
          <w:tcPr>
            <w:tcW w:w="115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2.50</w:t>
            </w:r>
          </w:p>
        </w:tc>
        <w:tc>
          <w:tcPr>
            <w:tcW w:w="10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219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18"/>
                <w:rFonts w:hint="default"/>
                <w:lang w:bidi="ar"/>
              </w:rPr>
              <w:t>四川省标准化研究院</w:t>
            </w:r>
          </w:p>
        </w:tc>
        <w:tc>
          <w:tcPr>
            <w:tcW w:w="1143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2,967.66</w:t>
            </w:r>
          </w:p>
        </w:tc>
        <w:tc>
          <w:tcPr>
            <w:tcW w:w="109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997.15</w:t>
            </w:r>
          </w:p>
        </w:tc>
        <w:tc>
          <w:tcPr>
            <w:tcW w:w="114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1,268.01</w:t>
            </w:r>
          </w:p>
        </w:tc>
        <w:tc>
          <w:tcPr>
            <w:tcW w:w="10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700.00</w:t>
            </w:r>
          </w:p>
        </w:tc>
        <w:tc>
          <w:tcPr>
            <w:tcW w:w="115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2.50</w:t>
            </w:r>
          </w:p>
        </w:tc>
        <w:tc>
          <w:tcPr>
            <w:tcW w:w="10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wordWrap w:val="0"/>
        <w:spacing w:before="0" w:beforeAutospacing="0" w:after="0" w:afterAutospacing="0"/>
        <w:jc w:val="right"/>
        <w:rPr>
          <w:rFonts w:ascii="宋体" w:hAnsi="宋体" w:cs="宋体"/>
          <w:sz w:val="22"/>
          <w:szCs w:val="22"/>
          <w:lang w:bidi="ar"/>
        </w:rPr>
      </w:pPr>
      <w:r>
        <w:rPr>
          <w:rFonts w:hint="eastAsia" w:ascii="宋体" w:hAnsi="宋体" w:cs="宋体"/>
          <w:sz w:val="22"/>
          <w:szCs w:val="22"/>
          <w:lang w:bidi="ar"/>
        </w:rPr>
        <w:t xml:space="preserve">表1-2   </w:t>
      </w:r>
    </w:p>
    <w:p>
      <w:pPr>
        <w:pStyle w:val="7"/>
        <w:widowControl/>
        <w:spacing w:before="0" w:beforeAutospacing="0" w:after="0" w:afterAutospacing="0"/>
        <w:jc w:val="center"/>
        <w:rPr>
          <w:rFonts w:ascii="宋体" w:hAnsi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sz w:val="32"/>
          <w:szCs w:val="32"/>
          <w:lang w:bidi="ar"/>
        </w:rPr>
        <w:t>单位支出总表</w:t>
      </w:r>
    </w:p>
    <w:p>
      <w:pPr>
        <w:pStyle w:val="7"/>
        <w:widowControl/>
        <w:spacing w:before="0" w:beforeAutospacing="0" w:after="0" w:afterAutospacing="0"/>
        <w:ind w:firstLine="220" w:firstLineChars="100"/>
        <w:rPr>
          <w:rFonts w:ascii="宋体" w:hAnsi="宋体" w:cs="宋体"/>
          <w:sz w:val="22"/>
          <w:szCs w:val="22"/>
          <w:lang w:bidi="ar"/>
        </w:rPr>
      </w:pPr>
      <w:r>
        <w:rPr>
          <w:rFonts w:hint="eastAsia" w:ascii="宋体" w:hAnsi="宋体" w:cs="宋体"/>
          <w:sz w:val="22"/>
          <w:szCs w:val="22"/>
          <w:lang w:bidi="ar"/>
        </w:rPr>
        <w:t xml:space="preserve"> 单位：四川省标准化研究院                                                                                                  单位：万元</w:t>
      </w:r>
    </w:p>
    <w:tbl>
      <w:tblPr>
        <w:tblStyle w:val="8"/>
        <w:tblW w:w="145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14"/>
        <w:gridCol w:w="714"/>
        <w:gridCol w:w="982"/>
        <w:gridCol w:w="3791"/>
        <w:gridCol w:w="1487"/>
        <w:gridCol w:w="1487"/>
        <w:gridCol w:w="1471"/>
        <w:gridCol w:w="1441"/>
        <w:gridCol w:w="1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923" w:type="dxa"/>
            <w:gridSpan w:val="5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148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8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471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441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上缴上级支出</w:t>
            </w:r>
          </w:p>
        </w:tc>
        <w:tc>
          <w:tcPr>
            <w:tcW w:w="175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对附属单位补助支出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50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982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3791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148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rPr>
          <w:trHeight w:val="48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982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2,967.66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2,431.36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536.30</w:t>
            </w: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质量安全监管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事业运行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225.03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225.03</w:t>
            </w: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其他市场监督管理事务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256.14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256.14</w:t>
            </w: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培训支出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19.97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19.97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机构运行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1,847.16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1,847.16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其他科学技术支出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50.13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50.13</w:t>
            </w: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机关事业单位基本养老保险缴费支出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123.21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123.21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机关事业单位职业年金缴费支出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61.60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61.60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死亡抚恤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20.00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20.00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其他社会保障和就业支出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126.73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126.73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事业单位医疗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120.65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120.65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2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714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82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住房公积金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112.04</w:t>
            </w:r>
          </w:p>
        </w:tc>
        <w:tc>
          <w:tcPr>
            <w:tcW w:w="1487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112.04</w:t>
            </w:r>
          </w:p>
        </w:tc>
        <w:tc>
          <w:tcPr>
            <w:tcW w:w="147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134" w:right="850" w:bottom="1134" w:left="85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558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5"/>
        <w:gridCol w:w="1558"/>
        <w:gridCol w:w="3896"/>
        <w:gridCol w:w="1559"/>
        <w:gridCol w:w="1559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34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财政拨款收支预算总表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34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单位：四川省标准化研究院</w:t>
            </w: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收    入</w:t>
            </w:r>
          </w:p>
        </w:tc>
        <w:tc>
          <w:tcPr>
            <w:tcW w:w="1134" w:type="dxa"/>
            <w:gridSpan w:val="5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    目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预算数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    目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一般公共预算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政府性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基金预算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国有资本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一、本年收入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1,268.01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一、本年支出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1,317.17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1,317.17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一般公共预算拨款收入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1,268.01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一般公共服务支出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378.95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378.95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政府性基金预算拨款收入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外交支出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国有资本经营预算拨款收入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国防支出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一、上年结转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49.16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公共安全支出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一般公共预算拨款收入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49.16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教育支出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政府性基金预算拨款收入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科学技术支出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938.22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938.22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国有资本经营预算拨款收入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文化旅游体育与传媒支出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社会保障和就业支出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社会保险基金支出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卫生健康支出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节能环保支出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城乡社区支出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农林水支出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交通运输支出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资源勘探工业信息等支出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商业服务业等支出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金融支出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援助其他地区支出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自然资源海洋气象等支出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住房保障支出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粮油物资储备支出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国有资本经营预算支出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灾害防治及应急管理支出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其他支出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债务付息支出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债务发行费用支出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抗疫特别国债安排的支出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国库拨款专用</w:t>
            </w: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57" w:right="850" w:bottom="57" w:left="85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47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35"/>
        <w:gridCol w:w="735"/>
        <w:gridCol w:w="1100"/>
        <w:gridCol w:w="2835"/>
        <w:gridCol w:w="1103"/>
        <w:gridCol w:w="1103"/>
        <w:gridCol w:w="1103"/>
        <w:gridCol w:w="1100"/>
        <w:gridCol w:w="1100"/>
        <w:gridCol w:w="771"/>
        <w:gridCol w:w="883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53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733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财政拨款支出预算表（部门经济分类科目）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733" w:type="dxa"/>
            <w:gridSpan w:val="1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单位：四川省标准化研究院                                                                   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70" w:type="dxa"/>
            <w:gridSpan w:val="5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1103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4406" w:type="dxa"/>
            <w:gridSpan w:val="4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省级当年财政拨款安排</w:t>
            </w:r>
          </w:p>
        </w:tc>
        <w:tc>
          <w:tcPr>
            <w:tcW w:w="2754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上年结转安排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1100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2835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1103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303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一般公共预算拨款</w:t>
            </w:r>
          </w:p>
        </w:tc>
        <w:tc>
          <w:tcPr>
            <w:tcW w:w="771" w:type="dxa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983" w:type="dxa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一般公共预算拨款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65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1100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771" w:type="dxa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    计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1,317.17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1,268.01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1,268.01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889.06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378.95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49.16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49.16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838.11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834.61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834.61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777.01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基本工资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300.00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300.00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300.00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津贴补贴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3010201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国家出台津贴补贴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绩效工资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395.76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395.76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395.76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395.76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其他工资福利支出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136.70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133.20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133.20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3019901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聘用人员经费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3019999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其他工资福利支出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79.10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434.71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396.76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396.76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112.05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284.71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印刷费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6.20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邮电费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30209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物业管理费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76.37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76.37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76.37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76.37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差旅费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28.84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20.80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20.80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5.80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维修（护）费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131.81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131.81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131.81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131.81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会议费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9.54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5.60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3.94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3.94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培训费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4.30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0.62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0.62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公务接待费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30226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劳务费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12.41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30227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委托业务费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135.46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126.94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126.94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126.94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公务用车运行维护费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其他商品和服务支出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17.27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3029903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机动经费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3029909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其他商品和服务支出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15.81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44.35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36.64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36.64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36.64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31002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办公设备购置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32.35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24.64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24.64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24.64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06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31007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7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信息网络及软件购置更新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110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771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pStyle w:val="7"/>
        <w:widowControl/>
        <w:spacing w:before="0" w:beforeAutospacing="0" w:after="0" w:afterAutospacing="0"/>
        <w:jc w:val="both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567" w:right="567" w:bottom="567" w:left="567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28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5539"/>
        <w:gridCol w:w="1150"/>
        <w:gridCol w:w="2036"/>
        <w:gridCol w:w="2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891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一般公共预算支出预算表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69" w:type="dxa"/>
            <w:gridSpan w:val="4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5222" w:type="dxa"/>
            <w:gridSpan w:val="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69" w:type="dxa"/>
            <w:gridSpan w:val="4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115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3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当年财政拨款安排</w:t>
            </w:r>
          </w:p>
        </w:tc>
        <w:tc>
          <w:tcPr>
            <w:tcW w:w="2036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上年结转安排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30" w:type="dxa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5539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11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5539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1,317.17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1,268.01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一般公共服务支出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378.95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378.95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 xml:space="preserve"> 市场监督管理事务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378.95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378.95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 xml:space="preserve">  质量安全监管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 xml:space="preserve">  事业运行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157.95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157.95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 xml:space="preserve">  其他市场监督管理事务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216.00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216.00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科学技术支出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938.22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 xml:space="preserve"> 应用研究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 xml:space="preserve">  机构运行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 xml:space="preserve"> 其他科学技术支出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1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539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 xml:space="preserve">  其他科学技术支出</w:t>
            </w:r>
          </w:p>
        </w:tc>
        <w:tc>
          <w:tcPr>
            <w:tcW w:w="1150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</w:tbl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134" w:right="1134" w:bottom="567" w:left="1134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42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3"/>
        <w:gridCol w:w="1965"/>
        <w:gridCol w:w="4920"/>
        <w:gridCol w:w="1965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表3-1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一般公共预算基本支出预算表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250" w:type="dxa"/>
            <w:gridSpan w:val="7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单位：四川省标准化研究院                                                                                          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4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0" w:type="auto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0" w:type="auto"/>
            <w:vMerge w:val="restart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777.01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777.01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777.01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基本工资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300.00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300.00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津贴补贴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3010201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国家出台津贴补贴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30107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绩效工资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395.76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395.76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30199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其他工资福利支出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3019999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其他工资福利支出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112.05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30209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物业管理费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76.37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30211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差旅费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15.00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30215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会议费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30216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培训费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3.68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30217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30231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</w:tr>
    </w:tbl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701" w:right="1440" w:bottom="1701" w:left="144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30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554"/>
        <w:gridCol w:w="554"/>
        <w:gridCol w:w="1394"/>
        <w:gridCol w:w="7382"/>
        <w:gridCol w:w="24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06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表3-2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6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一般公共预算项目支出预算表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5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196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1965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428.11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质量安全监管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重点工业产品质量抽检工作经费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事业运行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单位运转项目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其他市场监督管理事务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质量基础设施“一站式”服务平台管理服务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机房线路设施改造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档案室维修改造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其他科学技术支出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GS1质量信息追溯系统在宜宾芽菜产品上的应用推广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川渝重点产品质量追溯一体化平台构建研究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大数据背景下标准信息服务模式的研究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基于我省社会信用代码企业行业分类的政策信息服务研究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机关事务管理标准化现状与发展路径研究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上年结转_四川省科技计划项目专项资金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四川省城市轨道交通标准体系及标准化工作路径研究</w:t>
            </w:r>
          </w:p>
        </w:tc>
        <w:tc>
          <w:tcPr>
            <w:tcW w:w="1965" w:type="dxa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3.75</w:t>
            </w:r>
          </w:p>
        </w:tc>
      </w:tr>
    </w:tbl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31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545"/>
        <w:gridCol w:w="894"/>
        <w:gridCol w:w="1379"/>
        <w:gridCol w:w="894"/>
        <w:gridCol w:w="2044"/>
        <w:gridCol w:w="2044"/>
        <w:gridCol w:w="2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11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表3-3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一般公共预算“三公”经费支出预算表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单位编码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gridSpan w:val="6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当年财政拨款预算安排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因公出国（境）费用</w:t>
            </w:r>
          </w:p>
        </w:tc>
        <w:tc>
          <w:tcPr>
            <w:tcW w:w="0" w:type="auto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公务用车购置及运行费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公务用车购置费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公务用车运行费</w:t>
            </w: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12.00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四川省标准化研究院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12.00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</w:tr>
    </w:tbl>
    <w:p>
      <w:pPr>
        <w:pStyle w:val="7"/>
        <w:widowControl/>
        <w:spacing w:before="0" w:beforeAutospacing="0" w:after="0" w:afterAutospacing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/>
        <w:jc w:val="center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37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1"/>
        <w:gridCol w:w="761"/>
        <w:gridCol w:w="1915"/>
        <w:gridCol w:w="3453"/>
        <w:gridCol w:w="1146"/>
        <w:gridCol w:w="1915"/>
        <w:gridCol w:w="3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7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政府性基金支出预算表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5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gridSpan w:val="5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0" w:type="auto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本年政府性基金预算支出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3770" w:type="dxa"/>
            <w:gridSpan w:val="8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注：2022年四川省标准化研究院未使用政府性基金预算安排支出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此表无数据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37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498"/>
        <w:gridCol w:w="829"/>
        <w:gridCol w:w="1515"/>
        <w:gridCol w:w="829"/>
        <w:gridCol w:w="2221"/>
        <w:gridCol w:w="2221"/>
        <w:gridCol w:w="2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71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表4-1</w:t>
            </w:r>
          </w:p>
        </w:tc>
      </w:tr>
      <w:tr>
        <w:trPr>
          <w:trHeight w:val="458" w:hRule="atLeast"/>
        </w:trPr>
        <w:tc>
          <w:tcPr>
            <w:tcW w:w="0" w:type="auto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政府性基金预算“三公”经费支出预算表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单位：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单位编码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gridSpan w:val="6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当年财政拨款预算安排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7" w:type="dxa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因公出国（境）费用</w:t>
            </w:r>
          </w:p>
        </w:tc>
        <w:tc>
          <w:tcPr>
            <w:tcW w:w="0" w:type="auto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公务用车购置及运行费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公务用车购置费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公务用车运行费</w:t>
            </w: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195" w:hRule="atLeast"/>
        </w:trPr>
        <w:tc>
          <w:tcPr>
            <w:tcW w:w="13710" w:type="dxa"/>
            <w:gridSpan w:val="8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注：2022年四川省标准化研究院未使用政府性基金预算拨款安排“三公”经费支出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此表无数据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29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5"/>
        <w:gridCol w:w="715"/>
        <w:gridCol w:w="1799"/>
        <w:gridCol w:w="3242"/>
        <w:gridCol w:w="1076"/>
        <w:gridCol w:w="1799"/>
        <w:gridCol w:w="2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93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0" w:type="auto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国有资本经营预算支出预算表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gridSpan w:val="5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单位：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gridSpan w:val="5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0" w:type="auto"/>
            <w:gridSpan w:val="3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本年国有资本经营预算支出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EFF2F7" w:fill="EFF2F7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noWrap/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C2C3C4" w:sz="4" w:space="0"/>
              <w:left w:val="single" w:color="C2C3C4" w:sz="4" w:space="0"/>
              <w:bottom w:val="single" w:color="C2C3C4" w:sz="4" w:space="0"/>
              <w:right w:val="single" w:color="C2C3C4" w:sz="4" w:space="0"/>
            </w:tcBorders>
            <w:shd w:val="clear" w:color="FFFFFF" w:fill="FFFFFF"/>
            <w:noWrap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930" w:type="dxa"/>
            <w:gridSpan w:val="8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注：2022年四川省标准化研究院未使用国有资本经营预算拨款安排支出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此表无数据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0" w:type="auto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</w:pPr>
    </w:p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134" w:right="1134" w:bottom="1134" w:left="1134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1432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687"/>
        <w:gridCol w:w="936"/>
        <w:gridCol w:w="1926"/>
        <w:gridCol w:w="1030"/>
        <w:gridCol w:w="1030"/>
        <w:gridCol w:w="1632"/>
        <w:gridCol w:w="911"/>
        <w:gridCol w:w="912"/>
        <w:gridCol w:w="911"/>
        <w:gridCol w:w="913"/>
        <w:gridCol w:w="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28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省级部门预算项目绩效目标申报表（2022年度）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14" w:type="dxa"/>
            <w:gridSpan w:val="4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单位：四川省标准化研究院</w:t>
            </w:r>
          </w:p>
        </w:tc>
        <w:tc>
          <w:tcPr>
            <w:tcW w:w="103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年度目标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度量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权重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EFF2F7" w:fill="EFF2F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方向性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7"/>
                <w:szCs w:val="17"/>
                <w:lang w:bidi="ar"/>
              </w:rPr>
              <w:t>332-四川省市场监督管理局部门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1,150.32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332909-四川省标准化研究院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康巴藏族服饰第1部分甘孜州德格区域（上年结转）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完成项目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内控信息化建设（上年结转）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完成内控信息化建设项目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默认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羌族刺绣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0.97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完成项目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四川标准馆建设（上年结转）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18.95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完成四川省标准馆建设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定额公用经费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493.89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保障单位日常运转，提高预算编制质量，严格执行预算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科目调整次数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运转保障率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预算编制准确率（计算方法为：∣（执行数-预算数）/预算数∣）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“三公经费”控制率[计算方法为：（三公经费实际支出数/预算安排数]×100%）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非定额公用经费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168.09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保障单位日常运转，提高预算编制质量，严格执行预算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“三公经费”控制率[计算方法为：（三公经费实际支出数/预算安排数]×100%）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科目调整次数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预算编制准确率（计算方法为：∣（执行数-预算数）/预算数∣）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运转保障率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单位运转项目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225.03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保证单位日常工作的正常运转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完成日常运转工作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单位职工满意度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维护平台数据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离退休公用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保障单位日常运转，提高预算编制质量，严格执行预算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“三公经费”控制率[计算方法为：（三公经费实际支出数/预算安排数]×100%）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科目调整次数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预算编制准确率（计算方法为：∣（执行数-预算数）/预算数∣）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运转保障率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质量基础设施“一站式”服务平台管理服务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136.00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做好全省质量基础设施“一站式”公共服务平台管理服务，推动相关服务机构入驻平台，吸纳符合条件的服务机构入驻平台，为企业提供检验检测、认证、计量测试、标准制（修）订、品牌培育、知识产权保护、商标注册、物品编码、实验室（仪器）共享、技术咨询等“一站式”服务；创新服务方式提升服务能力。推动服务机构持续优化办事流程，创新服务方式，提升服务效率，树立一批服务标杆。加强平台数据归集运用，推动数据信息实现系统内外、行业部门共享共用，为质量提升提供有力支撑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企业用户访问量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入驻平台机构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入驻机构满意度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重点工业产品质量抽检工作经费.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完成条码符号印刷品专抽100批次.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条码符号印刷品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提高我省条码符号印刷品顺利进入流通领域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提供条码符号印刷品质量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机房线路设施改造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49.75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通过机房线路设施改造，使通信网络覆盖办公楼，满足业务开展和对外服务的需要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4343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平米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可持续发展指标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覆盖率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档案室维修改造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48.95</w:t>
            </w:r>
          </w:p>
        </w:tc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完成档案室维修改造，满足标准档案、行政档案的贮存、查询、整理的需要。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满足标准文献贮存、行政档案管理的需要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平米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满意度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使用对象满意度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</w:tbl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方正小标宋简体" w:cs="方正小标宋简体"/>
          <w:sz w:val="52"/>
          <w:szCs w:val="52"/>
          <w:lang w:bidi="ar"/>
        </w:rPr>
        <w:sectPr>
          <w:pgSz w:w="16838" w:h="11906" w:orient="landscape"/>
          <w:pgMar w:top="1134" w:right="1134" w:bottom="1134" w:left="1134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pStyle w:val="7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hAnsi="Times New Roman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PZMfdEAAAADAQAADwAAAAAAAAABACAAAAAiAAAAZHJz&#10;L2Rvd25yZXYueG1sUEsBAhQAFAAAAAgAh07iQG8O2h4LAgAAAw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F"/>
    <w:rsid w:val="00072E1F"/>
    <w:rsid w:val="004B0FB6"/>
    <w:rsid w:val="008B30A0"/>
    <w:rsid w:val="008D784E"/>
    <w:rsid w:val="00D04E3B"/>
    <w:rsid w:val="055A7CFE"/>
    <w:rsid w:val="068B70E2"/>
    <w:rsid w:val="07B2647C"/>
    <w:rsid w:val="0B8D687D"/>
    <w:rsid w:val="0BA230F7"/>
    <w:rsid w:val="0BD076B8"/>
    <w:rsid w:val="0D0E115E"/>
    <w:rsid w:val="126F5FD6"/>
    <w:rsid w:val="12E473CC"/>
    <w:rsid w:val="13A36B3B"/>
    <w:rsid w:val="142C2850"/>
    <w:rsid w:val="163B7C9C"/>
    <w:rsid w:val="19720CC7"/>
    <w:rsid w:val="1A6C0A17"/>
    <w:rsid w:val="20874114"/>
    <w:rsid w:val="22D24D74"/>
    <w:rsid w:val="24D954E2"/>
    <w:rsid w:val="29233E3A"/>
    <w:rsid w:val="29AC0503"/>
    <w:rsid w:val="2AC77AAA"/>
    <w:rsid w:val="300673B9"/>
    <w:rsid w:val="353775AC"/>
    <w:rsid w:val="3B8768CD"/>
    <w:rsid w:val="3C32182B"/>
    <w:rsid w:val="3D501E1B"/>
    <w:rsid w:val="3DB24DEE"/>
    <w:rsid w:val="3EF91879"/>
    <w:rsid w:val="44762622"/>
    <w:rsid w:val="451B7B2A"/>
    <w:rsid w:val="47B36F9E"/>
    <w:rsid w:val="4D527BEC"/>
    <w:rsid w:val="4D79464B"/>
    <w:rsid w:val="4D8C0CDB"/>
    <w:rsid w:val="549616E9"/>
    <w:rsid w:val="57020E15"/>
    <w:rsid w:val="58CA59BB"/>
    <w:rsid w:val="5A663049"/>
    <w:rsid w:val="5BD522B9"/>
    <w:rsid w:val="60C34504"/>
    <w:rsid w:val="641C056A"/>
    <w:rsid w:val="665D214E"/>
    <w:rsid w:val="69FB3E23"/>
    <w:rsid w:val="6B8D7FA5"/>
    <w:rsid w:val="70387316"/>
    <w:rsid w:val="70BD7A5A"/>
    <w:rsid w:val="7194561D"/>
    <w:rsid w:val="75060BB6"/>
    <w:rsid w:val="75FF3AF6"/>
    <w:rsid w:val="78925BE5"/>
    <w:rsid w:val="792C0B6C"/>
    <w:rsid w:val="7C964B73"/>
    <w:rsid w:val="D753C2F9"/>
    <w:rsid w:val="F7D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默认段落字体1"/>
    <w:qFormat/>
    <w:uiPriority w:val="0"/>
  </w:style>
  <w:style w:type="paragraph" w:customStyle="1" w:styleId="14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5">
    <w:name w:val="Index"/>
    <w:basedOn w:val="1"/>
    <w:qFormat/>
    <w:uiPriority w:val="0"/>
    <w:pPr>
      <w:suppressLineNumbers/>
    </w:pPr>
  </w:style>
  <w:style w:type="character" w:customStyle="1" w:styleId="16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7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1425</Words>
  <Characters>8125</Characters>
  <Lines>67</Lines>
  <Paragraphs>19</Paragraphs>
  <TotalTime>4</TotalTime>
  <ScaleCrop>false</ScaleCrop>
  <LinksUpToDate>false</LinksUpToDate>
  <CharactersWithSpaces>9531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2022-03-16T04:51:00Z</dcterms:created>
  <dc:creator>user</dc:creator>
  <cp:lastModifiedBy>丫丫</cp:lastModifiedBy>
  <cp:lastPrinted>2022-02-25T02:48:00Z</cp:lastPrinted>
  <dcterms:modified xsi:type="dcterms:W3CDTF">2023-09-18T08:53:58Z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5886FFAC9AFE4778816DDF8C3738548F_13</vt:lpwstr>
  </property>
</Properties>
</file>